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0818C" w14:textId="00AD29EB" w:rsidR="003378C9" w:rsidRPr="007639ED" w:rsidRDefault="003378C9" w:rsidP="006A0483">
      <w:pPr>
        <w:widowControl/>
        <w:spacing w:after="0" w:line="240" w:lineRule="auto"/>
        <w:jc w:val="right"/>
        <w:rPr>
          <w:rFonts w:eastAsia="Times New Roman"/>
          <w:b/>
          <w:bCs/>
        </w:rPr>
      </w:pPr>
      <w:r w:rsidRPr="007639ED">
        <w:rPr>
          <w:rFonts w:eastAsia="Times New Roman"/>
          <w:b/>
          <w:bCs/>
        </w:rPr>
        <w:t>Maksātnespējas procesa administrator</w:t>
      </w:r>
      <w:r w:rsidR="00A77A5E" w:rsidRPr="007639ED">
        <w:rPr>
          <w:rFonts w:eastAsia="Times New Roman"/>
          <w:b/>
          <w:bCs/>
        </w:rPr>
        <w:t>am</w:t>
      </w:r>
    </w:p>
    <w:p w14:paraId="4786A410" w14:textId="1D6241E9" w:rsidR="003378C9" w:rsidRPr="00DF252D" w:rsidRDefault="006767EB" w:rsidP="006A0483">
      <w:pPr>
        <w:widowControl/>
        <w:spacing w:after="0" w:line="240" w:lineRule="auto"/>
        <w:jc w:val="right"/>
        <w:rPr>
          <w:rFonts w:eastAsia="Times New Roman"/>
          <w:b/>
          <w:bCs/>
        </w:rPr>
      </w:pPr>
      <w:r w:rsidRPr="00DF252D">
        <w:rPr>
          <w:rFonts w:eastAsia="Times New Roman"/>
          <w:b/>
          <w:bCs/>
        </w:rPr>
        <w:t>/Administrators/</w:t>
      </w:r>
    </w:p>
    <w:p w14:paraId="1350C93D" w14:textId="77777777" w:rsidR="003378C9" w:rsidRPr="00DF252D" w:rsidRDefault="003378C9" w:rsidP="006A0483">
      <w:pPr>
        <w:tabs>
          <w:tab w:val="left" w:pos="360"/>
          <w:tab w:val="left" w:pos="720"/>
        </w:tabs>
        <w:spacing w:after="0" w:line="240" w:lineRule="auto"/>
        <w:jc w:val="right"/>
      </w:pPr>
      <w:r w:rsidRPr="00DF252D">
        <w:t>Paziņošanai e-adresē</w:t>
      </w:r>
    </w:p>
    <w:p w14:paraId="1D44F152" w14:textId="77777777" w:rsidR="003378C9" w:rsidRPr="00DF252D" w:rsidRDefault="003378C9" w:rsidP="006A0483">
      <w:pPr>
        <w:widowControl/>
        <w:spacing w:after="0" w:line="240" w:lineRule="auto"/>
        <w:jc w:val="right"/>
        <w:rPr>
          <w:rFonts w:eastAsia="Times New Roman"/>
        </w:rPr>
      </w:pPr>
    </w:p>
    <w:p w14:paraId="78EA8731" w14:textId="77777777" w:rsidR="003378C9" w:rsidRPr="00DF252D" w:rsidRDefault="003378C9" w:rsidP="006A0483">
      <w:pPr>
        <w:widowControl/>
        <w:spacing w:after="0" w:line="240" w:lineRule="auto"/>
        <w:jc w:val="right"/>
        <w:rPr>
          <w:rFonts w:eastAsia="Times New Roman"/>
        </w:rPr>
      </w:pPr>
    </w:p>
    <w:p w14:paraId="585149AD" w14:textId="22137E8D" w:rsidR="003378C9" w:rsidRPr="00DF252D" w:rsidRDefault="003378C9" w:rsidP="006A0483">
      <w:pPr>
        <w:widowControl/>
        <w:spacing w:after="0" w:line="240" w:lineRule="auto"/>
        <w:jc w:val="center"/>
        <w:rPr>
          <w:rFonts w:eastAsia="Times New Roman"/>
          <w:b/>
          <w:bCs/>
        </w:rPr>
      </w:pPr>
      <w:r w:rsidRPr="00DF252D">
        <w:rPr>
          <w:rFonts w:eastAsia="Times New Roman"/>
          <w:b/>
          <w:bCs/>
        </w:rPr>
        <w:t>Par maksātnespējas procesa administrator</w:t>
      </w:r>
      <w:r w:rsidR="0072190B" w:rsidRPr="00DF252D">
        <w:rPr>
          <w:rFonts w:eastAsia="Times New Roman"/>
          <w:b/>
          <w:bCs/>
        </w:rPr>
        <w:t xml:space="preserve">a </w:t>
      </w:r>
      <w:r w:rsidR="006767EB" w:rsidRPr="00DF252D">
        <w:rPr>
          <w:rFonts w:eastAsia="Times New Roman"/>
          <w:b/>
          <w:bCs/>
        </w:rPr>
        <w:t>/Administrators/</w:t>
      </w:r>
      <w:r w:rsidR="0072190B" w:rsidRPr="00DF252D">
        <w:rPr>
          <w:rFonts w:eastAsia="Times New Roman"/>
          <w:b/>
          <w:bCs/>
        </w:rPr>
        <w:t xml:space="preserve"> </w:t>
      </w:r>
      <w:r w:rsidRPr="00DF252D">
        <w:rPr>
          <w:rFonts w:eastAsia="Times New Roman"/>
          <w:b/>
          <w:bCs/>
        </w:rPr>
        <w:t xml:space="preserve">rīcību </w:t>
      </w:r>
      <w:r w:rsidR="006767EB" w:rsidRPr="00DF252D">
        <w:rPr>
          <w:rFonts w:eastAsia="Times New Roman"/>
          <w:b/>
          <w:bCs/>
        </w:rPr>
        <w:t>/</w:t>
      </w:r>
      <w:r w:rsidR="00962C4D" w:rsidRPr="00DF252D">
        <w:rPr>
          <w:rFonts w:eastAsia="Times New Roman"/>
          <w:b/>
          <w:bCs/>
        </w:rPr>
        <w:t>SIA "</w:t>
      </w:r>
      <w:r w:rsidR="006767EB" w:rsidRPr="00DF252D">
        <w:rPr>
          <w:rFonts w:eastAsia="Times New Roman"/>
          <w:b/>
          <w:bCs/>
        </w:rPr>
        <w:t>Nosaukums A</w:t>
      </w:r>
      <w:r w:rsidR="00962C4D" w:rsidRPr="00DF252D">
        <w:rPr>
          <w:rFonts w:eastAsia="Times New Roman"/>
          <w:b/>
          <w:bCs/>
        </w:rPr>
        <w:t>"</w:t>
      </w:r>
      <w:r w:rsidR="006767EB" w:rsidRPr="00DF252D">
        <w:rPr>
          <w:rFonts w:eastAsia="Times New Roman"/>
          <w:b/>
          <w:bCs/>
        </w:rPr>
        <w:t>/</w:t>
      </w:r>
      <w:r w:rsidRPr="00DF252D">
        <w:rPr>
          <w:rFonts w:eastAsia="Times New Roman"/>
          <w:b/>
          <w:bCs/>
        </w:rPr>
        <w:t xml:space="preserve"> maksātnespējas procesā</w:t>
      </w:r>
    </w:p>
    <w:p w14:paraId="41845AD3" w14:textId="77777777" w:rsidR="003378C9" w:rsidRPr="00DF252D" w:rsidRDefault="003378C9" w:rsidP="006A0483">
      <w:pPr>
        <w:widowControl/>
        <w:spacing w:after="0" w:line="240" w:lineRule="auto"/>
        <w:rPr>
          <w:rFonts w:eastAsia="Times New Roman"/>
        </w:rPr>
      </w:pPr>
    </w:p>
    <w:p w14:paraId="5882E33F" w14:textId="7726CFA4" w:rsidR="005E29EE" w:rsidRPr="00DF252D" w:rsidRDefault="00F830F0" w:rsidP="00DD4E44">
      <w:pPr>
        <w:widowControl/>
        <w:spacing w:after="0" w:line="240" w:lineRule="auto"/>
        <w:ind w:firstLine="720"/>
        <w:jc w:val="both"/>
        <w:rPr>
          <w:bCs/>
        </w:rPr>
      </w:pPr>
      <w:r w:rsidRPr="00DF252D">
        <w:rPr>
          <w:bCs/>
        </w:rPr>
        <w:t xml:space="preserve">Ar </w:t>
      </w:r>
      <w:r w:rsidR="006767EB" w:rsidRPr="00DF252D">
        <w:rPr>
          <w:bCs/>
        </w:rPr>
        <w:t>/</w:t>
      </w:r>
      <w:r w:rsidRPr="00DF252D">
        <w:rPr>
          <w:bCs/>
        </w:rPr>
        <w:t>tiesas</w:t>
      </w:r>
      <w:r w:rsidR="006767EB" w:rsidRPr="00DF252D">
        <w:rPr>
          <w:bCs/>
        </w:rPr>
        <w:t xml:space="preserve"> nosaukums/ /datums/</w:t>
      </w:r>
      <w:r w:rsidRPr="00DF252D">
        <w:rPr>
          <w:bCs/>
        </w:rPr>
        <w:t xml:space="preserve"> spriedumu </w:t>
      </w:r>
      <w:r w:rsidRPr="00DF252D">
        <w:rPr>
          <w:rFonts w:eastAsia="Times New Roman"/>
        </w:rPr>
        <w:t xml:space="preserve">civillietā </w:t>
      </w:r>
      <w:r w:rsidR="006767EB" w:rsidRPr="00DF252D">
        <w:rPr>
          <w:rFonts w:eastAsia="Times New Roman"/>
        </w:rPr>
        <w:t>/</w:t>
      </w:r>
      <w:r w:rsidR="006767EB" w:rsidRPr="00DF252D">
        <w:rPr>
          <w:bCs/>
        </w:rPr>
        <w:t>lietas numurs/</w:t>
      </w:r>
      <w:r w:rsidRPr="00DF252D">
        <w:rPr>
          <w:bCs/>
        </w:rPr>
        <w:t xml:space="preserve"> pasludināts </w:t>
      </w:r>
      <w:r w:rsidR="006767EB" w:rsidRPr="00DF252D">
        <w:rPr>
          <w:bCs/>
        </w:rPr>
        <w:t>/</w:t>
      </w:r>
      <w:r w:rsidRPr="00DF252D">
        <w:rPr>
          <w:bCs/>
        </w:rPr>
        <w:t>SIA "</w:t>
      </w:r>
      <w:r w:rsidR="006767EB" w:rsidRPr="00DF252D">
        <w:rPr>
          <w:bCs/>
        </w:rPr>
        <w:t>Nosaukums A</w:t>
      </w:r>
      <w:r w:rsidRPr="00DF252D">
        <w:rPr>
          <w:bCs/>
        </w:rPr>
        <w:t>"</w:t>
      </w:r>
      <w:r w:rsidR="006767EB" w:rsidRPr="00DF252D">
        <w:rPr>
          <w:bCs/>
        </w:rPr>
        <w:t>/</w:t>
      </w:r>
      <w:r w:rsidRPr="00DF252D">
        <w:rPr>
          <w:bCs/>
        </w:rPr>
        <w:t xml:space="preserve">, </w:t>
      </w:r>
      <w:r w:rsidR="006767EB" w:rsidRPr="00DF252D">
        <w:rPr>
          <w:bCs/>
        </w:rPr>
        <w:t>/</w:t>
      </w:r>
      <w:r w:rsidRPr="00DF252D">
        <w:rPr>
          <w:bCs/>
        </w:rPr>
        <w:t xml:space="preserve">reģistrācijas </w:t>
      </w:r>
      <w:r w:rsidR="006767EB" w:rsidRPr="00DF252D">
        <w:rPr>
          <w:bCs/>
        </w:rPr>
        <w:t>numurs/</w:t>
      </w:r>
      <w:r w:rsidRPr="00DF252D">
        <w:t>, (turpmāk – Parādnieks)</w:t>
      </w:r>
      <w:r w:rsidR="008F025F" w:rsidRPr="00DF252D">
        <w:t xml:space="preserve"> </w:t>
      </w:r>
      <w:r w:rsidR="005E29EE" w:rsidRPr="00DF252D">
        <w:rPr>
          <w:rFonts w:eastAsia="Times New Roman"/>
        </w:rPr>
        <w:t>maksātnespējas process un</w:t>
      </w:r>
      <w:r w:rsidR="007270A7" w:rsidRPr="00DF252D">
        <w:rPr>
          <w:rFonts w:eastAsia="Times New Roman"/>
        </w:rPr>
        <w:t xml:space="preserve"> </w:t>
      </w:r>
      <w:r w:rsidR="00DC1FB2" w:rsidRPr="00DF252D">
        <w:rPr>
          <w:rFonts w:eastAsia="Times New Roman"/>
        </w:rPr>
        <w:t xml:space="preserve">par </w:t>
      </w:r>
      <w:r w:rsidR="007270A7" w:rsidRPr="00DF252D">
        <w:rPr>
          <w:rFonts w:eastAsia="Times New Roman"/>
        </w:rPr>
        <w:t>maksā</w:t>
      </w:r>
      <w:r w:rsidR="008718BE" w:rsidRPr="00DF252D">
        <w:rPr>
          <w:rFonts w:eastAsia="Times New Roman"/>
        </w:rPr>
        <w:t>tnespējas procesa administrator</w:t>
      </w:r>
      <w:r w:rsidR="00DC1FB2" w:rsidRPr="00DF252D">
        <w:rPr>
          <w:rFonts w:eastAsia="Times New Roman"/>
        </w:rPr>
        <w:t>u</w:t>
      </w:r>
      <w:r w:rsidR="00AB5199" w:rsidRPr="00DF252D">
        <w:rPr>
          <w:rFonts w:eastAsia="Times New Roman"/>
        </w:rPr>
        <w:t xml:space="preserve"> (turpmāk – administrators)</w:t>
      </w:r>
      <w:r w:rsidR="005E29EE" w:rsidRPr="00DF252D">
        <w:rPr>
          <w:rFonts w:eastAsia="Times New Roman"/>
        </w:rPr>
        <w:t xml:space="preserve"> </w:t>
      </w:r>
      <w:r w:rsidR="00DC1FB2" w:rsidRPr="00DF252D">
        <w:rPr>
          <w:rFonts w:eastAsia="Times New Roman"/>
        </w:rPr>
        <w:t xml:space="preserve">iecelts </w:t>
      </w:r>
      <w:r w:rsidR="006767EB" w:rsidRPr="00DF252D">
        <w:rPr>
          <w:rFonts w:eastAsia="Times New Roman"/>
        </w:rPr>
        <w:t>/Administrators/</w:t>
      </w:r>
      <w:r w:rsidR="005E29EE" w:rsidRPr="00DF252D">
        <w:rPr>
          <w:rFonts w:eastAsia="Times New Roman"/>
        </w:rPr>
        <w:t xml:space="preserve">, </w:t>
      </w:r>
      <w:r w:rsidR="006767EB" w:rsidRPr="00DF252D">
        <w:rPr>
          <w:rFonts w:eastAsia="Times New Roman"/>
        </w:rPr>
        <w:t>/</w:t>
      </w:r>
      <w:r w:rsidR="005E29EE" w:rsidRPr="00DF252D">
        <w:rPr>
          <w:rFonts w:eastAsia="Times New Roman"/>
        </w:rPr>
        <w:t xml:space="preserve">amata apliecības </w:t>
      </w:r>
      <w:r w:rsidR="006767EB" w:rsidRPr="00DF252D">
        <w:rPr>
          <w:rFonts w:eastAsia="Times New Roman"/>
        </w:rPr>
        <w:t>numurs/</w:t>
      </w:r>
      <w:r w:rsidR="005E29EE" w:rsidRPr="00DF252D">
        <w:rPr>
          <w:rFonts w:eastAsia="Times New Roman"/>
        </w:rPr>
        <w:t xml:space="preserve"> </w:t>
      </w:r>
      <w:r w:rsidR="00806AD8" w:rsidRPr="00DF252D">
        <w:rPr>
          <w:rFonts w:eastAsia="Times New Roman"/>
        </w:rPr>
        <w:t>(turpmāk</w:t>
      </w:r>
      <w:r w:rsidR="00C73D8B" w:rsidRPr="00DF252D">
        <w:rPr>
          <w:rFonts w:eastAsia="Times New Roman"/>
        </w:rPr>
        <w:t> </w:t>
      </w:r>
      <w:r w:rsidR="007270A7" w:rsidRPr="00DF252D">
        <w:rPr>
          <w:rFonts w:eastAsia="Times New Roman"/>
        </w:rPr>
        <w:t>–</w:t>
      </w:r>
      <w:r w:rsidR="00C73D8B" w:rsidRPr="00DF252D">
        <w:rPr>
          <w:rFonts w:eastAsia="Times New Roman"/>
        </w:rPr>
        <w:t> </w:t>
      </w:r>
      <w:r w:rsidR="007270A7" w:rsidRPr="00DF252D">
        <w:rPr>
          <w:rFonts w:eastAsia="Times New Roman"/>
        </w:rPr>
        <w:t>Administrato</w:t>
      </w:r>
      <w:r w:rsidR="00221596" w:rsidRPr="00DF252D">
        <w:rPr>
          <w:rFonts w:eastAsia="Times New Roman"/>
        </w:rPr>
        <w:t>rs</w:t>
      </w:r>
      <w:r w:rsidR="007270A7" w:rsidRPr="00DF252D">
        <w:rPr>
          <w:rFonts w:eastAsia="Times New Roman"/>
        </w:rPr>
        <w:t>)</w:t>
      </w:r>
      <w:r w:rsidR="00DC1FB2" w:rsidRPr="00DF252D">
        <w:rPr>
          <w:rFonts w:eastAsia="Times New Roman"/>
        </w:rPr>
        <w:t>.</w:t>
      </w:r>
      <w:r w:rsidR="007270A7" w:rsidRPr="00DF252D">
        <w:rPr>
          <w:rFonts w:eastAsia="Times New Roman"/>
        </w:rPr>
        <w:t xml:space="preserve"> </w:t>
      </w:r>
    </w:p>
    <w:p w14:paraId="37577FBF" w14:textId="403C7CA2" w:rsidR="00726F75" w:rsidRPr="00DF252D" w:rsidRDefault="004A740F" w:rsidP="00DD4E44">
      <w:pPr>
        <w:pStyle w:val="naisf"/>
        <w:spacing w:before="0" w:after="0"/>
        <w:ind w:firstLine="720"/>
        <w:rPr>
          <w:bCs/>
        </w:rPr>
      </w:pPr>
      <w:r w:rsidRPr="00DF252D">
        <w:t>Maksātnespējas kontroles dienests saskaņā ar Maksātnespējas likuma 174.</w:t>
      </w:r>
      <w:r w:rsidRPr="00DF252D">
        <w:rPr>
          <w:vertAlign w:val="superscript"/>
        </w:rPr>
        <w:t>1</w:t>
      </w:r>
      <w:r w:rsidRPr="00DF252D">
        <w:t xml:space="preserve"> panta 1. punktu </w:t>
      </w:r>
      <w:r w:rsidR="00AC7100" w:rsidRPr="00DF252D">
        <w:t xml:space="preserve">sākot ar 2025. gada </w:t>
      </w:r>
      <w:r w:rsidR="004B7469" w:rsidRPr="00DF252D">
        <w:t>30. septembri</w:t>
      </w:r>
      <w:r w:rsidR="00AC7100" w:rsidRPr="00DF252D">
        <w:t xml:space="preserve"> </w:t>
      </w:r>
      <w:r w:rsidRPr="00DF252D">
        <w:t>veica Administrator</w:t>
      </w:r>
      <w:r w:rsidR="00342CF0" w:rsidRPr="00DF252D">
        <w:t>a</w:t>
      </w:r>
      <w:r w:rsidRPr="00DF252D">
        <w:t xml:space="preserve"> rīcības pārbaudi </w:t>
      </w:r>
      <w:r w:rsidRPr="00DF252D">
        <w:rPr>
          <w:iCs/>
        </w:rPr>
        <w:t xml:space="preserve">Parādnieka </w:t>
      </w:r>
      <w:r w:rsidRPr="00DF252D">
        <w:t xml:space="preserve">maksātnespējas procesā, kuras ietvaros </w:t>
      </w:r>
      <w:r w:rsidRPr="00DF252D">
        <w:rPr>
          <w:bCs/>
        </w:rPr>
        <w:t>Administratora rīcībā konstatēja normatīvo aktu pārkāpumus</w:t>
      </w:r>
      <w:r w:rsidR="00835453" w:rsidRPr="00DF252D">
        <w:rPr>
          <w:bCs/>
        </w:rPr>
        <w:t>.</w:t>
      </w:r>
    </w:p>
    <w:p w14:paraId="6F963FB8" w14:textId="50C5C37C" w:rsidR="00FC4106" w:rsidRPr="00DF252D" w:rsidRDefault="00FC4106" w:rsidP="00FC4106">
      <w:pPr>
        <w:pStyle w:val="naisf"/>
        <w:spacing w:before="0" w:after="0"/>
        <w:ind w:firstLine="720"/>
        <w:rPr>
          <w:b/>
          <w:bCs/>
        </w:rPr>
      </w:pPr>
      <w:r w:rsidRPr="00DF252D">
        <w:rPr>
          <w:b/>
        </w:rPr>
        <w:t>[1] </w:t>
      </w:r>
      <w:r w:rsidRPr="00DF252D">
        <w:rPr>
          <w:b/>
          <w:bCs/>
        </w:rPr>
        <w:t>Par Administratora rīcību, izmantojot Parādnieka maksātnespējas procesa nodrošināšanai uz sava vārda atvērt</w:t>
      </w:r>
      <w:r w:rsidR="00C46180" w:rsidRPr="00DF252D">
        <w:rPr>
          <w:b/>
          <w:bCs/>
        </w:rPr>
        <w:t>os</w:t>
      </w:r>
      <w:r w:rsidRPr="00DF252D">
        <w:rPr>
          <w:b/>
          <w:bCs/>
        </w:rPr>
        <w:t xml:space="preserve"> norēķinu kontu</w:t>
      </w:r>
      <w:r w:rsidR="00C46180" w:rsidRPr="00DF252D">
        <w:rPr>
          <w:b/>
          <w:bCs/>
        </w:rPr>
        <w:t>s</w:t>
      </w:r>
      <w:r w:rsidRPr="00DF252D">
        <w:rPr>
          <w:b/>
          <w:bCs/>
        </w:rPr>
        <w:t xml:space="preserve"> kredītiestādē.</w:t>
      </w:r>
    </w:p>
    <w:p w14:paraId="37996486" w14:textId="1856CDE0" w:rsidR="00F96DDD" w:rsidRPr="00DF252D" w:rsidRDefault="00F96DDD" w:rsidP="00F96DDD">
      <w:pPr>
        <w:widowControl/>
        <w:spacing w:after="0" w:line="240" w:lineRule="auto"/>
        <w:ind w:firstLine="720"/>
        <w:jc w:val="both"/>
        <w:rPr>
          <w:rFonts w:eastAsia="Times New Roman"/>
        </w:rPr>
      </w:pPr>
      <w:r w:rsidRPr="00DF252D">
        <w:rPr>
          <w:rFonts w:eastAsia="Times New Roman"/>
        </w:rPr>
        <w:t>No</w:t>
      </w:r>
      <w:r w:rsidR="006D71F1" w:rsidRPr="00DF252D">
        <w:rPr>
          <w:rFonts w:eastAsia="Times New Roman"/>
        </w:rPr>
        <w:t xml:space="preserve"> Parādnieka</w:t>
      </w:r>
      <w:r w:rsidRPr="00DF252D">
        <w:rPr>
          <w:rFonts w:eastAsia="Times New Roman"/>
        </w:rPr>
        <w:t xml:space="preserve"> UAB "Paysera" norēķinu konta </w:t>
      </w:r>
      <w:r w:rsidR="006767EB" w:rsidRPr="00DF252D">
        <w:rPr>
          <w:rFonts w:eastAsia="Times New Roman"/>
        </w:rPr>
        <w:t>/konta numurs/</w:t>
      </w:r>
      <w:r w:rsidR="006D71F1" w:rsidRPr="00DF252D">
        <w:t xml:space="preserve"> </w:t>
      </w:r>
      <w:r w:rsidR="003E1CA9" w:rsidRPr="00DF252D">
        <w:t xml:space="preserve">(turpmāk – Parādnieka konts) </w:t>
      </w:r>
      <w:r w:rsidRPr="00DF252D">
        <w:rPr>
          <w:rFonts w:eastAsia="Times New Roman"/>
        </w:rPr>
        <w:t xml:space="preserve">pārskata izriet, ka Parādnieka maksātnespējas procesā izmantoti uz </w:t>
      </w:r>
      <w:r w:rsidR="00E23CD4" w:rsidRPr="00DF252D">
        <w:rPr>
          <w:rFonts w:eastAsia="Times New Roman"/>
        </w:rPr>
        <w:t>Administratora</w:t>
      </w:r>
      <w:r w:rsidRPr="00DF252D">
        <w:rPr>
          <w:rFonts w:eastAsia="Times New Roman"/>
        </w:rPr>
        <w:t xml:space="preserve"> vārda atvērti norēķinu konti </w:t>
      </w:r>
      <w:r w:rsidR="006767EB" w:rsidRPr="00DF252D">
        <w:rPr>
          <w:rFonts w:eastAsia="Times New Roman"/>
        </w:rPr>
        <w:t xml:space="preserve">/konta numurs/ </w:t>
      </w:r>
      <w:r w:rsidRPr="00DF252D">
        <w:rPr>
          <w:rFonts w:eastAsia="Times New Roman"/>
        </w:rPr>
        <w:t xml:space="preserve">un </w:t>
      </w:r>
      <w:r w:rsidR="000F2E9C" w:rsidRPr="00DF252D">
        <w:rPr>
          <w:rFonts w:eastAsia="Times New Roman"/>
        </w:rPr>
        <w:t>/konta numurs/</w:t>
      </w:r>
      <w:r w:rsidRPr="00DF252D">
        <w:rPr>
          <w:rFonts w:eastAsia="Times New Roman"/>
        </w:rPr>
        <w:t xml:space="preserve">. No minētajiem </w:t>
      </w:r>
      <w:r w:rsidR="00D83CBB" w:rsidRPr="00DF252D">
        <w:rPr>
          <w:rFonts w:eastAsia="Times New Roman"/>
        </w:rPr>
        <w:t xml:space="preserve">Administratora </w:t>
      </w:r>
      <w:r w:rsidRPr="00DF252D">
        <w:rPr>
          <w:rFonts w:eastAsia="Times New Roman"/>
        </w:rPr>
        <w:t>norēķinu kontiem uz Parādnieka kontu ieskaitīti naudas līdzekļi, kas iegūti no Parādnieka mantas atsavināšanas.</w:t>
      </w:r>
    </w:p>
    <w:p w14:paraId="12B249DD" w14:textId="758E085A" w:rsidR="00F96DDD" w:rsidRPr="00DF252D" w:rsidRDefault="00F96DDD" w:rsidP="00F96DDD">
      <w:pPr>
        <w:widowControl/>
        <w:spacing w:after="0" w:line="240" w:lineRule="auto"/>
        <w:ind w:firstLine="720"/>
        <w:jc w:val="both"/>
        <w:rPr>
          <w:bCs/>
        </w:rPr>
      </w:pPr>
      <w:r w:rsidRPr="00DF252D">
        <w:rPr>
          <w:rFonts w:eastAsia="Times New Roman"/>
        </w:rPr>
        <w:t>Vienlaikus no Elektroniskajā maksātnespējas uzskaites sistēmā (turpmāk – EMUS) reģistrētajiem dokumentiem</w:t>
      </w:r>
      <w:r w:rsidR="00B41AF6" w:rsidRPr="00DF252D">
        <w:rPr>
          <w:rStyle w:val="Vresatsauce"/>
          <w:rFonts w:eastAsia="Times New Roman"/>
        </w:rPr>
        <w:footnoteReference w:id="1"/>
      </w:r>
      <w:r w:rsidRPr="00DF252D">
        <w:rPr>
          <w:rFonts w:eastAsia="Times New Roman"/>
        </w:rPr>
        <w:t xml:space="preserve"> izriet, ka Parādnieka maksātnespējas procesā izmantots </w:t>
      </w:r>
      <w:r w:rsidR="00DF1DA9" w:rsidRPr="00DF252D">
        <w:rPr>
          <w:rFonts w:eastAsia="Times New Roman"/>
        </w:rPr>
        <w:t xml:space="preserve">arī </w:t>
      </w:r>
      <w:r w:rsidRPr="00DF252D">
        <w:rPr>
          <w:rFonts w:eastAsia="Times New Roman"/>
        </w:rPr>
        <w:t xml:space="preserve">uz </w:t>
      </w:r>
      <w:r w:rsidR="000471C1" w:rsidRPr="00DF252D">
        <w:rPr>
          <w:rFonts w:eastAsia="Times New Roman"/>
        </w:rPr>
        <w:t>Administ</w:t>
      </w:r>
      <w:r w:rsidR="00CC4564" w:rsidRPr="00DF252D">
        <w:rPr>
          <w:rFonts w:eastAsia="Times New Roman"/>
        </w:rPr>
        <w:t xml:space="preserve">ratora </w:t>
      </w:r>
      <w:r w:rsidRPr="00DF252D">
        <w:rPr>
          <w:rFonts w:eastAsia="Times New Roman"/>
        </w:rPr>
        <w:t xml:space="preserve">vārda atvērts norēķinu konts </w:t>
      </w:r>
      <w:r w:rsidR="000F2E9C" w:rsidRPr="00DF252D">
        <w:rPr>
          <w:rFonts w:eastAsia="Times New Roman"/>
        </w:rPr>
        <w:t>/konta numurs/</w:t>
      </w:r>
      <w:r w:rsidRPr="00DF252D">
        <w:rPr>
          <w:bCs/>
        </w:rPr>
        <w:t>.</w:t>
      </w:r>
    </w:p>
    <w:p w14:paraId="2A47476B" w14:textId="1B468888" w:rsidR="00A43BCA" w:rsidRPr="00DF252D" w:rsidRDefault="00A43BCA" w:rsidP="00A43BCA">
      <w:pPr>
        <w:pStyle w:val="naisf"/>
        <w:spacing w:before="0" w:after="0"/>
        <w:ind w:firstLine="720"/>
      </w:pPr>
      <w:r w:rsidRPr="00DF252D">
        <w:t>Ievērojot minēto</w:t>
      </w:r>
      <w:r w:rsidR="00366E66" w:rsidRPr="00DF252D">
        <w:t>,</w:t>
      </w:r>
      <w:r w:rsidRPr="00DF252D">
        <w:t xml:space="preserve"> </w:t>
      </w:r>
      <w:r w:rsidRPr="00DF252D">
        <w:rPr>
          <w:bCs/>
        </w:rPr>
        <w:t xml:space="preserve">Maksātnespējas kontroles dienests </w:t>
      </w:r>
      <w:r w:rsidRPr="00DF252D">
        <w:t xml:space="preserve">2025. gada </w:t>
      </w:r>
      <w:r w:rsidR="00754172" w:rsidRPr="00DF252D">
        <w:t>11. novembra vēstulē</w:t>
      </w:r>
      <w:r w:rsidR="00754172" w:rsidRPr="00DF252D">
        <w:rPr>
          <w:rStyle w:val="Vresatsauce"/>
        </w:rPr>
        <w:footnoteReference w:id="2"/>
      </w:r>
      <w:r w:rsidR="00BE6BD1" w:rsidRPr="00DF252D">
        <w:t xml:space="preserve"> lūdza Administratoru</w:t>
      </w:r>
      <w:r w:rsidR="0093427D" w:rsidRPr="00DF252D">
        <w:t xml:space="preserve"> iesniegt</w:t>
      </w:r>
      <w:r w:rsidR="009540DF" w:rsidRPr="00DF252D">
        <w:t>:</w:t>
      </w:r>
    </w:p>
    <w:p w14:paraId="4100CB28" w14:textId="7EB06AA4" w:rsidR="009540DF" w:rsidRPr="00DF252D" w:rsidRDefault="009540DF" w:rsidP="009540DF">
      <w:pPr>
        <w:pStyle w:val="Sarakstarindkopa"/>
        <w:widowControl/>
        <w:numPr>
          <w:ilvl w:val="0"/>
          <w:numId w:val="31"/>
        </w:numPr>
        <w:spacing w:after="0" w:line="240" w:lineRule="auto"/>
        <w:jc w:val="both"/>
        <w:rPr>
          <w:rFonts w:eastAsia="Times New Roman"/>
          <w:lang w:eastAsia="en-US"/>
        </w:rPr>
      </w:pPr>
      <w:r w:rsidRPr="00DF252D">
        <w:rPr>
          <w:rFonts w:eastAsia="Times New Roman"/>
          <w:lang w:eastAsia="en-US"/>
        </w:rPr>
        <w:t>uz Administratora vārda atvērtos norēķinu kontu pārskatus, kas izmantoti Parādnieka maksātnespējas procesa nodrošināšanai</w:t>
      </w:r>
      <w:r w:rsidR="0093427D" w:rsidRPr="00DF252D">
        <w:rPr>
          <w:rFonts w:eastAsia="Times New Roman"/>
          <w:lang w:eastAsia="en-US"/>
        </w:rPr>
        <w:t>;</w:t>
      </w:r>
    </w:p>
    <w:p w14:paraId="567E86E3" w14:textId="48D491CE" w:rsidR="009540DF" w:rsidRPr="00DF252D" w:rsidRDefault="009540DF" w:rsidP="009540DF">
      <w:pPr>
        <w:pStyle w:val="Sarakstarindkopa"/>
        <w:widowControl/>
        <w:numPr>
          <w:ilvl w:val="0"/>
          <w:numId w:val="31"/>
        </w:numPr>
        <w:spacing w:after="0" w:line="240" w:lineRule="auto"/>
        <w:jc w:val="both"/>
        <w:rPr>
          <w:rFonts w:eastAsia="Times New Roman"/>
          <w:lang w:eastAsia="en-US"/>
        </w:rPr>
      </w:pPr>
      <w:r w:rsidRPr="00DF252D">
        <w:rPr>
          <w:rFonts w:eastAsia="Times New Roman"/>
          <w:bCs/>
          <w:lang w:eastAsia="en-US"/>
        </w:rPr>
        <w:t>informāciju, vai visi kreditori ir informēti par to, ka Parādniek</w:t>
      </w:r>
      <w:r w:rsidR="00DF1DA9" w:rsidRPr="00DF252D">
        <w:rPr>
          <w:rFonts w:eastAsia="Times New Roman"/>
          <w:bCs/>
          <w:lang w:eastAsia="en-US"/>
        </w:rPr>
        <w:t>a</w:t>
      </w:r>
      <w:r w:rsidRPr="00DF252D">
        <w:rPr>
          <w:rFonts w:eastAsia="Times New Roman"/>
          <w:bCs/>
          <w:lang w:eastAsia="en-US"/>
        </w:rPr>
        <w:t xml:space="preserve"> maksātnespējas procesā tiek izmantoti uz </w:t>
      </w:r>
      <w:r w:rsidR="0093427D" w:rsidRPr="00DF252D">
        <w:rPr>
          <w:rFonts w:eastAsia="Times New Roman"/>
          <w:bCs/>
          <w:lang w:eastAsia="en-US"/>
        </w:rPr>
        <w:t>Administratora</w:t>
      </w:r>
      <w:r w:rsidRPr="00DF252D">
        <w:rPr>
          <w:rFonts w:eastAsia="Times New Roman"/>
          <w:bCs/>
          <w:lang w:eastAsia="en-US"/>
        </w:rPr>
        <w:t xml:space="preserve"> vārda atvērti norēķinu konti;</w:t>
      </w:r>
    </w:p>
    <w:p w14:paraId="05CA67E7" w14:textId="337BE107" w:rsidR="009540DF" w:rsidRPr="00DF252D" w:rsidRDefault="009540DF" w:rsidP="00557961">
      <w:pPr>
        <w:pStyle w:val="Sarakstarindkopa"/>
        <w:widowControl/>
        <w:numPr>
          <w:ilvl w:val="0"/>
          <w:numId w:val="31"/>
        </w:numPr>
        <w:spacing w:after="0" w:line="240" w:lineRule="auto"/>
        <w:jc w:val="both"/>
        <w:rPr>
          <w:rFonts w:eastAsia="Times New Roman"/>
          <w:lang w:eastAsia="en-US"/>
        </w:rPr>
      </w:pPr>
      <w:r w:rsidRPr="00DF252D">
        <w:rPr>
          <w:rFonts w:eastAsia="Times New Roman"/>
          <w:bCs/>
          <w:lang w:eastAsia="en-US"/>
        </w:rPr>
        <w:lastRenderedPageBreak/>
        <w:t xml:space="preserve">pamatojumu, kāpēc Parādnieka maksātnespējas procesā </w:t>
      </w:r>
      <w:r w:rsidR="00165E20" w:rsidRPr="00DF252D">
        <w:rPr>
          <w:rFonts w:eastAsia="Times New Roman"/>
          <w:bCs/>
          <w:lang w:eastAsia="en-US"/>
        </w:rPr>
        <w:t xml:space="preserve">Administrators </w:t>
      </w:r>
      <w:r w:rsidRPr="00DF252D">
        <w:rPr>
          <w:rFonts w:eastAsia="Times New Roman"/>
          <w:bCs/>
          <w:lang w:eastAsia="en-US"/>
        </w:rPr>
        <w:t>izmantoj</w:t>
      </w:r>
      <w:r w:rsidR="00165E20" w:rsidRPr="00DF252D">
        <w:rPr>
          <w:rFonts w:eastAsia="Times New Roman"/>
          <w:bCs/>
          <w:lang w:eastAsia="en-US"/>
        </w:rPr>
        <w:t>a</w:t>
      </w:r>
      <w:r w:rsidRPr="00DF252D">
        <w:rPr>
          <w:rFonts w:eastAsia="Times New Roman"/>
          <w:bCs/>
          <w:lang w:eastAsia="en-US"/>
        </w:rPr>
        <w:t xml:space="preserve"> uz sava vārda atvērtus norēķinu kontus</w:t>
      </w:r>
      <w:r w:rsidR="00D86EA3" w:rsidRPr="00DF252D">
        <w:rPr>
          <w:rFonts w:eastAsia="Times New Roman"/>
          <w:bCs/>
          <w:lang w:eastAsia="en-US"/>
        </w:rPr>
        <w:t>.</w:t>
      </w:r>
    </w:p>
    <w:p w14:paraId="793DDB83" w14:textId="26399124" w:rsidR="007639ED" w:rsidRPr="00DF252D" w:rsidRDefault="0026486F" w:rsidP="0089764D">
      <w:pPr>
        <w:widowControl/>
        <w:spacing w:after="0" w:line="240" w:lineRule="auto"/>
        <w:ind w:firstLine="720"/>
        <w:jc w:val="both"/>
        <w:rPr>
          <w:rFonts w:eastAsia="Times New Roman"/>
        </w:rPr>
      </w:pPr>
      <w:r w:rsidRPr="00DF252D">
        <w:rPr>
          <w:rFonts w:eastAsia="Times New Roman"/>
        </w:rPr>
        <w:t>Maksātnespējas kontroles dienestā saņemti Administratora 2025. gada 27. novembra paskaidrojumi</w:t>
      </w:r>
      <w:r w:rsidR="00B1464F" w:rsidRPr="00DF252D">
        <w:rPr>
          <w:rStyle w:val="Vresatsauce"/>
          <w:rFonts w:eastAsia="Times New Roman"/>
        </w:rPr>
        <w:footnoteReference w:id="3"/>
      </w:r>
      <w:r w:rsidR="0089764D" w:rsidRPr="00DF252D">
        <w:rPr>
          <w:rFonts w:eastAsia="Times New Roman"/>
        </w:rPr>
        <w:t xml:space="preserve"> (turpmāk – Paskaidrojumi)</w:t>
      </w:r>
      <w:r w:rsidR="00557961" w:rsidRPr="00DF252D">
        <w:rPr>
          <w:rFonts w:eastAsia="Times New Roman"/>
        </w:rPr>
        <w:t>, kuros norādīts</w:t>
      </w:r>
      <w:r w:rsidR="00AA723C" w:rsidRPr="00DF252D">
        <w:rPr>
          <w:rFonts w:eastAsia="Times New Roman"/>
        </w:rPr>
        <w:t>, ka</w:t>
      </w:r>
      <w:r w:rsidR="00D3179F" w:rsidRPr="00DF252D">
        <w:rPr>
          <w:rFonts w:eastAsia="Times New Roman"/>
        </w:rPr>
        <w:t>,</w:t>
      </w:r>
      <w:r w:rsidR="00AA723C" w:rsidRPr="00DF252D">
        <w:rPr>
          <w:rFonts w:eastAsia="Times New Roman"/>
        </w:rPr>
        <w:t xml:space="preserve"> </w:t>
      </w:r>
      <w:r w:rsidR="00D3179F" w:rsidRPr="00DF252D">
        <w:t>s</w:t>
      </w:r>
      <w:r w:rsidR="007639ED" w:rsidRPr="00DF252D">
        <w:t xml:space="preserve">agatavojot sludinājumu par Parādnieka mantas atsavināšanu </w:t>
      </w:r>
      <w:r w:rsidR="00DF1DA9" w:rsidRPr="00DF252D">
        <w:t xml:space="preserve">Elektronisko izsoļu vietnē </w:t>
      </w:r>
      <w:hyperlink r:id="rId8" w:history="1">
        <w:r w:rsidR="007639ED" w:rsidRPr="00DF252D">
          <w:rPr>
            <w:rStyle w:val="Hipersaite"/>
          </w:rPr>
          <w:t>https://izsoles.ta.gov.lv/</w:t>
        </w:r>
      </w:hyperlink>
      <w:r w:rsidR="00EF258B" w:rsidRPr="00DF252D">
        <w:t>,</w:t>
      </w:r>
      <w:r w:rsidR="00170CE1" w:rsidRPr="00DF252D">
        <w:t xml:space="preserve"> (turpmāk – Sistēma) </w:t>
      </w:r>
      <w:r w:rsidR="007639ED" w:rsidRPr="00DF252D">
        <w:t xml:space="preserve">sadaļā </w:t>
      </w:r>
      <w:r w:rsidR="00585FD3" w:rsidRPr="00DF252D">
        <w:t>''</w:t>
      </w:r>
      <w:r w:rsidR="007639ED" w:rsidRPr="00DF252D">
        <w:t>Konts</w:t>
      </w:r>
      <w:r w:rsidR="00585FD3" w:rsidRPr="00DF252D">
        <w:t>''</w:t>
      </w:r>
      <w:r w:rsidR="007639ED" w:rsidRPr="00DF252D">
        <w:t xml:space="preserve"> </w:t>
      </w:r>
      <w:r w:rsidR="00872FFF" w:rsidRPr="00DF252D">
        <w:t>S</w:t>
      </w:r>
      <w:r w:rsidR="007639ED" w:rsidRPr="00DF252D">
        <w:t xml:space="preserve">istēma tehniski neakceptēja Parādnieka kontu, uzrādot kļūdu </w:t>
      </w:r>
      <w:r w:rsidR="00627DD8" w:rsidRPr="00DF252D">
        <w:t>''</w:t>
      </w:r>
      <w:r w:rsidR="007639ED" w:rsidRPr="00DF252D">
        <w:t>Nepareizs formāts/saturs</w:t>
      </w:r>
      <w:r w:rsidR="00627DD8" w:rsidRPr="00DF252D">
        <w:t>''</w:t>
      </w:r>
      <w:r w:rsidR="007639ED" w:rsidRPr="00DF252D">
        <w:t xml:space="preserve"> un neļaujot reģistrēt sludinājumu.</w:t>
      </w:r>
    </w:p>
    <w:p w14:paraId="551B3C08" w14:textId="1BCBC4D1" w:rsidR="007639ED" w:rsidRPr="00DF252D" w:rsidRDefault="007639ED" w:rsidP="003A5C5C">
      <w:pPr>
        <w:spacing w:after="0" w:line="240" w:lineRule="auto"/>
        <w:ind w:firstLine="720"/>
        <w:jc w:val="both"/>
      </w:pPr>
      <w:r w:rsidRPr="00DF252D">
        <w:t>Gatavojot atbildi M</w:t>
      </w:r>
      <w:r w:rsidR="00627DD8" w:rsidRPr="00DF252D">
        <w:t>aksātnespējas kontroles dienestam</w:t>
      </w:r>
      <w:r w:rsidRPr="00DF252D">
        <w:t xml:space="preserve">, </w:t>
      </w:r>
      <w:r w:rsidR="003E1CA9" w:rsidRPr="00DF252D">
        <w:t>S</w:t>
      </w:r>
      <w:r w:rsidRPr="00DF252D">
        <w:t xml:space="preserve">istēma ļāva minēto kontu pievienot, tomēr veicot papildu testus, Administrators konstatēja, ka </w:t>
      </w:r>
      <w:r w:rsidR="003E1CA9" w:rsidRPr="00DF252D">
        <w:t>S</w:t>
      </w:r>
      <w:r w:rsidRPr="00DF252D">
        <w:t>istēma nepieņem arī citu ārvalstu kredītiestāžu kontus</w:t>
      </w:r>
      <w:r w:rsidR="004A68F9" w:rsidRPr="00DF252D">
        <w:t>.</w:t>
      </w:r>
      <w:r w:rsidRPr="00DF252D">
        <w:t xml:space="preserve"> Šāda pati situācija bija ar Parādnieka kontu, kad tika gatavoti sludinājumi par Parādnieka mantas atsavināšanu.</w:t>
      </w:r>
    </w:p>
    <w:p w14:paraId="2396FACA" w14:textId="70CCAAFF" w:rsidR="004B3128" w:rsidRPr="00DF252D" w:rsidRDefault="004B3128" w:rsidP="004B3128">
      <w:pPr>
        <w:widowControl/>
        <w:spacing w:after="0" w:line="240" w:lineRule="auto"/>
        <w:ind w:firstLine="720"/>
        <w:jc w:val="both"/>
        <w:rPr>
          <w:rFonts w:eastAsia="Times New Roman"/>
        </w:rPr>
      </w:pPr>
      <w:r w:rsidRPr="00DF252D">
        <w:t xml:space="preserve">Administrators ir atvēris norēķinu kontu </w:t>
      </w:r>
      <w:r w:rsidR="00D01AB3" w:rsidRPr="00DF252D">
        <w:t xml:space="preserve">/konta numurs/ </w:t>
      </w:r>
      <w:r w:rsidRPr="00DF252D">
        <w:t xml:space="preserve">un to izmanto </w:t>
      </w:r>
      <w:r w:rsidR="00B543EE" w:rsidRPr="00DF252D">
        <w:t>fizisko</w:t>
      </w:r>
      <w:r w:rsidR="004022BC" w:rsidRPr="00DF252D">
        <w:t xml:space="preserve"> personu </w:t>
      </w:r>
      <w:r w:rsidRPr="00DF252D">
        <w:t>maksātnespējas procesu nodrošināšanai,</w:t>
      </w:r>
      <w:r w:rsidR="004022BC" w:rsidRPr="00DF252D">
        <w:t xml:space="preserve"> kā arī juridisko personu maksātnespējas procesos,</w:t>
      </w:r>
      <w:r w:rsidRPr="00DF252D">
        <w:t xml:space="preserve"> kad kredītiestādes atsakās atvērt norēķinu kontu konkrētam maksātnespējas subjektam.</w:t>
      </w:r>
      <w:r w:rsidRPr="00DF252D">
        <w:rPr>
          <w:rFonts w:eastAsia="Times New Roman"/>
        </w:rPr>
        <w:t xml:space="preserve"> </w:t>
      </w:r>
      <w:r w:rsidRPr="00DF252D">
        <w:t>Kreditori netika informēti par to, ka Parādnieka maksātnespējas procesā izmantots uz Administratora vārda atvērts norēķinu konts. Administrators neuzskatīja par nepieciešamu atsevišķi informēt kreditorus par šādu faktu.</w:t>
      </w:r>
    </w:p>
    <w:p w14:paraId="56222FDF" w14:textId="6E377D31" w:rsidR="007639ED" w:rsidRPr="00DF252D" w:rsidRDefault="007639ED" w:rsidP="009F787B">
      <w:pPr>
        <w:pStyle w:val="Sarakstarindkopa"/>
        <w:spacing w:after="0" w:line="240" w:lineRule="auto"/>
        <w:ind w:left="0" w:firstLine="720"/>
        <w:jc w:val="both"/>
      </w:pPr>
      <w:r w:rsidRPr="00DF252D">
        <w:t xml:space="preserve">Saņemot naudas līdzekļus no izsoles dalībniekiem uz norēķina kontu </w:t>
      </w:r>
      <w:r w:rsidR="00D01AB3" w:rsidRPr="00DF252D">
        <w:t>/konta numurs/</w:t>
      </w:r>
      <w:r w:rsidRPr="00DF252D">
        <w:t xml:space="preserve">, Administrators tos pārskaitīja uz saviem norēķinu kontiem </w:t>
      </w:r>
      <w:r w:rsidR="00D01AB3" w:rsidRPr="00DF252D">
        <w:t xml:space="preserve">/konta numurs/ </w:t>
      </w:r>
      <w:r w:rsidRPr="00DF252D">
        <w:t xml:space="preserve">un/vai </w:t>
      </w:r>
      <w:r w:rsidR="00D01AB3" w:rsidRPr="00DF252D">
        <w:t>/konta numurs/</w:t>
      </w:r>
      <w:r w:rsidRPr="00DF252D">
        <w:t xml:space="preserve">. Maksājums </w:t>
      </w:r>
      <w:r w:rsidR="004A4163" w:rsidRPr="00DF252D">
        <w:t xml:space="preserve">veikts </w:t>
      </w:r>
      <w:r w:rsidRPr="00DF252D">
        <w:t xml:space="preserve">starp Administratora kontiem, lai netiktu piemērota bankas komisijas maksa (nodrošinot procesa efektivitātes principu), jo no konta </w:t>
      </w:r>
      <w:r w:rsidR="00D01AB3" w:rsidRPr="00DF252D">
        <w:t xml:space="preserve">/konta numurs/ </w:t>
      </w:r>
      <w:r w:rsidRPr="00DF252D">
        <w:t xml:space="preserve">tiek piemērota komisijas maksa, bet no kontiem </w:t>
      </w:r>
      <w:r w:rsidR="000F543B" w:rsidRPr="00DF252D">
        <w:t xml:space="preserve">/konta numurs/ </w:t>
      </w:r>
      <w:r w:rsidRPr="00DF252D">
        <w:t xml:space="preserve">un </w:t>
      </w:r>
      <w:r w:rsidR="000F543B" w:rsidRPr="00DF252D">
        <w:t xml:space="preserve">/konta numurs/ </w:t>
      </w:r>
      <w:r w:rsidRPr="00DF252D">
        <w:t xml:space="preserve"> netiek piemērotas komisijas maksas. No minētiem norēķinu kontiem Administrators nekavējoties naudas līdzekļ</w:t>
      </w:r>
      <w:r w:rsidR="009F787B" w:rsidRPr="00DF252D">
        <w:t>us</w:t>
      </w:r>
      <w:r w:rsidRPr="00DF252D">
        <w:t xml:space="preserve"> pārskaitītājā uz Parādnieka norēķinu kontu.</w:t>
      </w:r>
      <w:r w:rsidR="009F787B" w:rsidRPr="00DF252D">
        <w:t xml:space="preserve"> </w:t>
      </w:r>
      <w:r w:rsidRPr="00DF252D">
        <w:t>Pielikumā</w:t>
      </w:r>
      <w:r w:rsidR="009F787B" w:rsidRPr="00DF252D">
        <w:t xml:space="preserve"> </w:t>
      </w:r>
      <w:r w:rsidRPr="00DF252D">
        <w:t xml:space="preserve">pievienoti kontu izraksti, kurā redzamas minētās darbības. </w:t>
      </w:r>
    </w:p>
    <w:p w14:paraId="014BF39F" w14:textId="18C18BDC" w:rsidR="007639ED" w:rsidRPr="00DF252D" w:rsidRDefault="007639ED" w:rsidP="008C07AB">
      <w:pPr>
        <w:pStyle w:val="Sarakstarindkopa"/>
        <w:spacing w:after="0" w:line="240" w:lineRule="auto"/>
        <w:ind w:left="0" w:firstLine="720"/>
        <w:jc w:val="both"/>
      </w:pPr>
      <w:r w:rsidRPr="00DF252D">
        <w:t xml:space="preserve">Administrators uzsver, ka Parādnieka maksātnespējas procesā iegūtos naudas līdzekļus nav izmantojis savām vajadzībām. Norēķinu konts </w:t>
      </w:r>
      <w:r w:rsidR="00D61ADE" w:rsidRPr="00DF252D">
        <w:t xml:space="preserve">/konta numurs/ </w:t>
      </w:r>
      <w:r w:rsidRPr="00DF252D">
        <w:t xml:space="preserve"> izmantots tikai izsoles procesu nodrošināšanai, jo </w:t>
      </w:r>
      <w:r w:rsidR="002A71F9" w:rsidRPr="00DF252D">
        <w:t>S</w:t>
      </w:r>
      <w:r w:rsidRPr="00DF252D">
        <w:t>istēma tehniski neļāva izmantot Parādnieka kontu. Citās Parādnieka maksātnespējas procesa darbībās (piemēram, debitoru parāda piedziņa, tiesvedības u.c.) tika izmantots Parādnieka konts</w:t>
      </w:r>
      <w:r w:rsidR="00E91A45" w:rsidRPr="00DF252D">
        <w:t>.</w:t>
      </w:r>
    </w:p>
    <w:p w14:paraId="7561C2C6" w14:textId="207A4274" w:rsidR="004A240F" w:rsidRPr="00DF252D" w:rsidRDefault="004A240F" w:rsidP="008C07AB">
      <w:pPr>
        <w:pStyle w:val="Sarakstarindkopa"/>
        <w:spacing w:after="0" w:line="240" w:lineRule="auto"/>
        <w:ind w:left="0" w:firstLine="720"/>
        <w:jc w:val="both"/>
        <w:rPr>
          <w:u w:val="single"/>
        </w:rPr>
      </w:pPr>
      <w:r w:rsidRPr="00DF252D">
        <w:t>Maksātnespējas kontroles dienestā</w:t>
      </w:r>
      <w:r w:rsidR="00F155F8" w:rsidRPr="00DF252D">
        <w:t xml:space="preserve"> saņem</w:t>
      </w:r>
      <w:r w:rsidR="00021E0D" w:rsidRPr="00DF252D">
        <w:t>ts</w:t>
      </w:r>
      <w:r w:rsidR="00E64C65" w:rsidRPr="00DF252D">
        <w:rPr>
          <w:rStyle w:val="Vresatsauce"/>
        </w:rPr>
        <w:footnoteReference w:id="4"/>
      </w:r>
      <w:r w:rsidR="00021E0D" w:rsidRPr="00DF252D">
        <w:t xml:space="preserve"> Administratora </w:t>
      </w:r>
      <w:r w:rsidR="00741B74" w:rsidRPr="00DF252D">
        <w:t>2025. gada 10.</w:t>
      </w:r>
      <w:r w:rsidR="00611D2B" w:rsidRPr="00DF252D">
        <w:t> </w:t>
      </w:r>
      <w:r w:rsidR="00741B74" w:rsidRPr="00DF252D">
        <w:t>decembra e-pasts</w:t>
      </w:r>
      <w:r w:rsidR="0029356B" w:rsidRPr="00DF252D">
        <w:t>, kuram pievienota sarakste ar Tiesu administrāciju</w:t>
      </w:r>
      <w:r w:rsidR="00E64C65" w:rsidRPr="00DF252D">
        <w:t xml:space="preserve"> par iepriekš minēto Sistēmas kļūdu</w:t>
      </w:r>
      <w:r w:rsidR="004C5167" w:rsidRPr="00DF252D">
        <w:t xml:space="preserve"> un ekrānšāviņiem</w:t>
      </w:r>
      <w:r w:rsidR="00857EFB" w:rsidRPr="00DF252D">
        <w:t xml:space="preserve"> no Sistēmas</w:t>
      </w:r>
      <w:r w:rsidR="00E64C65" w:rsidRPr="00DF252D">
        <w:t>.</w:t>
      </w:r>
      <w:r w:rsidR="00857EFB" w:rsidRPr="00DF252D">
        <w:t xml:space="preserve"> </w:t>
      </w:r>
      <w:r w:rsidR="00611D2B" w:rsidRPr="00DF252D">
        <w:t>No ekrānšāviņiem redzams, ka i</w:t>
      </w:r>
      <w:r w:rsidR="00857EFB" w:rsidRPr="00DF252D">
        <w:t>zsoles sludinājum</w:t>
      </w:r>
      <w:r w:rsidR="005421BD" w:rsidRPr="00DF252D">
        <w:t xml:space="preserve">ā </w:t>
      </w:r>
      <w:r w:rsidR="001676A1" w:rsidRPr="00DF252D">
        <w:t xml:space="preserve">zem </w:t>
      </w:r>
      <w:r w:rsidR="005421BD" w:rsidRPr="00DF252D">
        <w:t>sadaļ</w:t>
      </w:r>
      <w:r w:rsidR="001676A1" w:rsidRPr="00DF252D">
        <w:t>as</w:t>
      </w:r>
      <w:r w:rsidR="005421BD" w:rsidRPr="00DF252D">
        <w:t xml:space="preserve"> "Konts"</w:t>
      </w:r>
      <w:r w:rsidR="005A2383" w:rsidRPr="00DF252D">
        <w:t>, kur ievadīts Parādnieka konts,</w:t>
      </w:r>
      <w:r w:rsidR="005421BD" w:rsidRPr="00DF252D">
        <w:t xml:space="preserve"> </w:t>
      </w:r>
      <w:r w:rsidR="005A2383" w:rsidRPr="00DF252D">
        <w:t>pa</w:t>
      </w:r>
      <w:r w:rsidR="005421BD" w:rsidRPr="00DF252D">
        <w:t>r</w:t>
      </w:r>
      <w:r w:rsidR="001676A1" w:rsidRPr="00DF252D">
        <w:t>ā</w:t>
      </w:r>
      <w:r w:rsidR="005421BD" w:rsidRPr="00DF252D">
        <w:t>dās ieraksts "Nepareizs formas saturs"</w:t>
      </w:r>
      <w:r w:rsidR="001778FC" w:rsidRPr="00DF252D">
        <w:t>.</w:t>
      </w:r>
      <w:r w:rsidR="003D0530" w:rsidRPr="00DF252D">
        <w:t xml:space="preserve"> Tiesu administrācija </w:t>
      </w:r>
      <w:r w:rsidR="008732F1" w:rsidRPr="00DF252D">
        <w:t>sniegusi skaidrojumu, kāpēc šāda kļūda radusies un norādījusi, ka</w:t>
      </w:r>
      <w:r w:rsidR="00B12EE0" w:rsidRPr="00DF252D">
        <w:t xml:space="preserve"> konstatētās problēmas ir nodotas novēršanai Sistēmas izstrādātājiem.</w:t>
      </w:r>
    </w:p>
    <w:p w14:paraId="61A2FEBF" w14:textId="14FC4BDD" w:rsidR="00627A44" w:rsidRPr="00DF252D" w:rsidRDefault="00D41113" w:rsidP="00627A44">
      <w:pPr>
        <w:widowControl/>
        <w:spacing w:after="0" w:line="240" w:lineRule="auto"/>
        <w:ind w:firstLine="720"/>
        <w:jc w:val="both"/>
      </w:pPr>
      <w:r w:rsidRPr="00DF252D">
        <w:rPr>
          <w:rFonts w:eastAsia="Times New Roman"/>
          <w:b/>
          <w:bCs/>
        </w:rPr>
        <w:t>[</w:t>
      </w:r>
      <w:r w:rsidR="00427B0F" w:rsidRPr="00DF252D">
        <w:rPr>
          <w:rFonts w:eastAsia="Times New Roman"/>
          <w:b/>
          <w:bCs/>
        </w:rPr>
        <w:t>2</w:t>
      </w:r>
      <w:r w:rsidRPr="00DF252D">
        <w:rPr>
          <w:rFonts w:eastAsia="Times New Roman"/>
          <w:b/>
          <w:bCs/>
        </w:rPr>
        <w:t xml:space="preserve">] Par kreditoru, kas atrodas citās Eiropas </w:t>
      </w:r>
      <w:r w:rsidR="00707395" w:rsidRPr="00DF252D">
        <w:rPr>
          <w:rFonts w:eastAsia="Times New Roman"/>
          <w:b/>
          <w:bCs/>
        </w:rPr>
        <w:t>S</w:t>
      </w:r>
      <w:r w:rsidRPr="00DF252D">
        <w:rPr>
          <w:rFonts w:eastAsia="Times New Roman"/>
          <w:b/>
          <w:bCs/>
        </w:rPr>
        <w:t>avienības dalībvalstīs, neinformēšanu par Parādnieka maksātnespējas procesa pasludināšanu.</w:t>
      </w:r>
    </w:p>
    <w:p w14:paraId="27E7C2E6" w14:textId="40337452" w:rsidR="00D41113" w:rsidRPr="00DF252D" w:rsidRDefault="00D41113" w:rsidP="00932AC1">
      <w:pPr>
        <w:widowControl/>
        <w:spacing w:after="0" w:line="240" w:lineRule="auto"/>
        <w:ind w:firstLine="720"/>
        <w:jc w:val="both"/>
      </w:pPr>
      <w:r w:rsidRPr="00DF252D">
        <w:rPr>
          <w:bCs/>
        </w:rPr>
        <w:t xml:space="preserve">Maksātnespējas kontroles dienests </w:t>
      </w:r>
      <w:r w:rsidRPr="00DF252D">
        <w:t>202</w:t>
      </w:r>
      <w:r w:rsidR="00A22B18" w:rsidRPr="00DF252D">
        <w:t>5</w:t>
      </w:r>
      <w:r w:rsidRPr="00DF252D">
        <w:t xml:space="preserve">. gada </w:t>
      </w:r>
      <w:r w:rsidR="00A22B18" w:rsidRPr="00DF252D">
        <w:t>22.</w:t>
      </w:r>
      <w:r w:rsidR="00DF1DA9" w:rsidRPr="00DF252D">
        <w:t> </w:t>
      </w:r>
      <w:r w:rsidR="00A22B18" w:rsidRPr="00DF252D">
        <w:t>oktob</w:t>
      </w:r>
      <w:r w:rsidR="00AF13D5" w:rsidRPr="00DF252D">
        <w:t>rī</w:t>
      </w:r>
      <w:r w:rsidRPr="00DF252D">
        <w:t xml:space="preserve"> nosūtīja Administrator</w:t>
      </w:r>
      <w:r w:rsidR="00AF13D5" w:rsidRPr="00DF252D">
        <w:t>am</w:t>
      </w:r>
      <w:r w:rsidRPr="00DF252D">
        <w:t xml:space="preserve"> vēstuli </w:t>
      </w:r>
      <w:r w:rsidR="00D61ADE" w:rsidRPr="00DF252D">
        <w:t>/numurs/</w:t>
      </w:r>
      <w:r w:rsidRPr="00DF252D">
        <w:rPr>
          <w:bCs/>
        </w:rPr>
        <w:t xml:space="preserve">, kurā, cita starpā, lūgts sniegt informāciju par to, </w:t>
      </w:r>
      <w:r w:rsidR="00627A44" w:rsidRPr="00DF252D">
        <w:rPr>
          <w:iCs/>
        </w:rPr>
        <w:t>vai Parādniekam konstatēti kreditori citās Eiropas Savienības valstīs, kuri informēti par maksātnespējas procesu.</w:t>
      </w:r>
    </w:p>
    <w:p w14:paraId="76B6F5E9" w14:textId="3478F914" w:rsidR="00D41113" w:rsidRPr="00DF252D" w:rsidRDefault="00D41113" w:rsidP="00B058DD">
      <w:pPr>
        <w:widowControl/>
        <w:spacing w:after="0" w:line="240" w:lineRule="auto"/>
        <w:ind w:firstLine="720"/>
        <w:jc w:val="both"/>
        <w:rPr>
          <w:shd w:val="clear" w:color="auto" w:fill="FFFFFF"/>
        </w:rPr>
      </w:pPr>
      <w:r w:rsidRPr="00DF252D">
        <w:rPr>
          <w:iCs/>
        </w:rPr>
        <w:t>Maksātnespējas kontroles dienestā saņemt</w:t>
      </w:r>
      <w:r w:rsidR="00C9663E" w:rsidRPr="00DF252D">
        <w:rPr>
          <w:iCs/>
        </w:rPr>
        <w:t>i</w:t>
      </w:r>
      <w:r w:rsidRPr="00DF252D">
        <w:rPr>
          <w:iCs/>
        </w:rPr>
        <w:t xml:space="preserve"> Administrator</w:t>
      </w:r>
      <w:r w:rsidR="00853B1A" w:rsidRPr="00DF252D">
        <w:rPr>
          <w:iCs/>
        </w:rPr>
        <w:t>a</w:t>
      </w:r>
      <w:r w:rsidRPr="00DF252D">
        <w:rPr>
          <w:iCs/>
        </w:rPr>
        <w:t xml:space="preserve"> </w:t>
      </w:r>
      <w:r w:rsidRPr="00DF252D">
        <w:t>202</w:t>
      </w:r>
      <w:r w:rsidR="004F19A2" w:rsidRPr="00DF252D">
        <w:t>5</w:t>
      </w:r>
      <w:r w:rsidRPr="00DF252D">
        <w:t>. gada</w:t>
      </w:r>
      <w:r w:rsidR="009A27D7" w:rsidRPr="00DF252D">
        <w:t xml:space="preserve"> 4. novembra</w:t>
      </w:r>
      <w:r w:rsidRPr="00DF252D">
        <w:t xml:space="preserve"> </w:t>
      </w:r>
      <w:r w:rsidR="00C9663E" w:rsidRPr="00DF252D">
        <w:t>paskaidrojumi</w:t>
      </w:r>
      <w:r w:rsidRPr="00DF252D">
        <w:rPr>
          <w:rStyle w:val="Vresatsauce"/>
        </w:rPr>
        <w:footnoteReference w:id="5"/>
      </w:r>
      <w:r w:rsidRPr="00DF252D">
        <w:t>.</w:t>
      </w:r>
      <w:r w:rsidR="00C9663E" w:rsidRPr="00DF252D">
        <w:t xml:space="preserve"> Minētajos paskaidrojumos</w:t>
      </w:r>
      <w:r w:rsidRPr="00DF252D">
        <w:t xml:space="preserve"> </w:t>
      </w:r>
      <w:r w:rsidRPr="00DF252D">
        <w:rPr>
          <w:rFonts w:eastAsia="Times New Roman"/>
        </w:rPr>
        <w:t>norādīts, ka Parādnieka maksātnespējas procesā konstatēti kreditori citās Eiropas Savienības dalībvalstīs</w:t>
      </w:r>
      <w:r w:rsidR="00481203" w:rsidRPr="00DF252D">
        <w:rPr>
          <w:rFonts w:eastAsia="Times New Roman"/>
        </w:rPr>
        <w:t xml:space="preserve">, tomēr Administrators tos nav informējis par Parādnieka maksātnespējas procesu. </w:t>
      </w:r>
      <w:r w:rsidR="00EA368E" w:rsidRPr="00DF252D">
        <w:rPr>
          <w:rFonts w:eastAsia="Times New Roman"/>
        </w:rPr>
        <w:t xml:space="preserve">Šie kreditori nav </w:t>
      </w:r>
      <w:r w:rsidR="00932AC1" w:rsidRPr="00DF252D">
        <w:rPr>
          <w:rFonts w:eastAsia="Times New Roman"/>
        </w:rPr>
        <w:t>vērsušies pie Administratora vai Parādnieka pārstāvja.</w:t>
      </w:r>
    </w:p>
    <w:p w14:paraId="0CDB9DD8" w14:textId="58DF8380" w:rsidR="004B0D6B" w:rsidRPr="00DF252D" w:rsidRDefault="00FC757A" w:rsidP="003715A1">
      <w:pPr>
        <w:pStyle w:val="Sarakstarindkopa"/>
        <w:widowControl/>
        <w:spacing w:after="0" w:line="240" w:lineRule="auto"/>
        <w:ind w:left="0" w:firstLine="720"/>
        <w:jc w:val="both"/>
        <w:rPr>
          <w:b/>
          <w:bCs/>
        </w:rPr>
      </w:pPr>
      <w:r w:rsidRPr="00DF252D">
        <w:rPr>
          <w:b/>
          <w:bCs/>
        </w:rPr>
        <w:t>Izvērtējot Maksātnespējas kontroles dienesta rīcībā esošo informāciju un Administrator</w:t>
      </w:r>
      <w:r w:rsidR="003715A1" w:rsidRPr="00DF252D">
        <w:rPr>
          <w:b/>
          <w:bCs/>
        </w:rPr>
        <w:t>a</w:t>
      </w:r>
      <w:r w:rsidRPr="00DF252D">
        <w:rPr>
          <w:b/>
          <w:bCs/>
        </w:rPr>
        <w:t xml:space="preserve"> sniegtos paskaidrojumus, secināms turpmāk minētais.</w:t>
      </w:r>
    </w:p>
    <w:p w14:paraId="33D46F1C" w14:textId="54A3D554" w:rsidR="004B0D6B" w:rsidRPr="00DF252D" w:rsidRDefault="004B0D6B" w:rsidP="004B0D6B">
      <w:pPr>
        <w:pStyle w:val="naisf"/>
        <w:spacing w:before="0" w:after="0"/>
        <w:ind w:firstLine="720"/>
        <w:rPr>
          <w:b/>
          <w:bCs/>
        </w:rPr>
      </w:pPr>
      <w:r w:rsidRPr="00DF252D">
        <w:rPr>
          <w:b/>
          <w:bCs/>
        </w:rPr>
        <w:lastRenderedPageBreak/>
        <w:t>[</w:t>
      </w:r>
      <w:r w:rsidR="007A4AD2" w:rsidRPr="00DF252D">
        <w:rPr>
          <w:b/>
          <w:bCs/>
        </w:rPr>
        <w:t>3</w:t>
      </w:r>
      <w:r w:rsidR="003715A1" w:rsidRPr="00DF252D">
        <w:rPr>
          <w:b/>
          <w:bCs/>
        </w:rPr>
        <w:t>]</w:t>
      </w:r>
      <w:r w:rsidRPr="00DF252D">
        <w:rPr>
          <w:b/>
          <w:bCs/>
        </w:rPr>
        <w:t> Par Administratora rīcību, izmantojot Parādnieka maksātnespējas procesa nodrošināšanai uz sava vārda atvērt</w:t>
      </w:r>
      <w:r w:rsidR="00C46180" w:rsidRPr="00DF252D">
        <w:rPr>
          <w:b/>
          <w:bCs/>
        </w:rPr>
        <w:t>os</w:t>
      </w:r>
      <w:r w:rsidRPr="00DF252D">
        <w:rPr>
          <w:b/>
          <w:bCs/>
        </w:rPr>
        <w:t xml:space="preserve"> norēķinu kontu</w:t>
      </w:r>
      <w:r w:rsidR="00C46180" w:rsidRPr="00DF252D">
        <w:rPr>
          <w:b/>
          <w:bCs/>
        </w:rPr>
        <w:t>s</w:t>
      </w:r>
      <w:r w:rsidRPr="00DF252D">
        <w:rPr>
          <w:b/>
          <w:bCs/>
        </w:rPr>
        <w:t xml:space="preserve"> kredītiestādē.</w:t>
      </w:r>
    </w:p>
    <w:p w14:paraId="77B765D4" w14:textId="316D2BD9" w:rsidR="004B0D6B" w:rsidRPr="00DF252D" w:rsidRDefault="004B0D6B" w:rsidP="004B0D6B">
      <w:pPr>
        <w:pStyle w:val="naisf"/>
        <w:spacing w:before="0" w:after="0"/>
        <w:ind w:firstLine="720"/>
      </w:pPr>
      <w:r w:rsidRPr="00DF252D">
        <w:t>Maksātnespējas likuma 95. panta ceturtā daļa paredz, ka naudas līdzekļi, kurus administrators saņem, pārvaldot parādnieka mantu, noguldāmi kredītiestādes parādnieka kontā.</w:t>
      </w:r>
    </w:p>
    <w:p w14:paraId="6D167587" w14:textId="161D45D2" w:rsidR="006D6EE3" w:rsidRPr="00DF252D" w:rsidRDefault="004B0D6B" w:rsidP="006D6EE3">
      <w:pPr>
        <w:widowControl/>
        <w:spacing w:after="0" w:line="240" w:lineRule="auto"/>
        <w:ind w:firstLine="709"/>
        <w:jc w:val="both"/>
      </w:pPr>
      <w:r w:rsidRPr="00DF252D">
        <w:t xml:space="preserve">Pārbaudē konstatēts, ka Administrators Parādnieka </w:t>
      </w:r>
      <w:r w:rsidR="00171803" w:rsidRPr="00DF252D">
        <w:t>mantas izsoļu</w:t>
      </w:r>
      <w:r w:rsidR="00D66DEA" w:rsidRPr="00DF252D">
        <w:t xml:space="preserve"> organizēšanai</w:t>
      </w:r>
      <w:r w:rsidRPr="00DF252D">
        <w:t xml:space="preserve"> izmantojis uz Administratora vārda atvērtu</w:t>
      </w:r>
      <w:r w:rsidR="00251047" w:rsidRPr="00DF252D">
        <w:t>s</w:t>
      </w:r>
      <w:r w:rsidR="004874F1" w:rsidRPr="00DF252D">
        <w:t xml:space="preserve"> trīs</w:t>
      </w:r>
      <w:r w:rsidRPr="00DF252D">
        <w:t xml:space="preserve"> kredītiestādes kontu</w:t>
      </w:r>
      <w:r w:rsidR="00251047" w:rsidRPr="00DF252D">
        <w:t>s</w:t>
      </w:r>
      <w:r w:rsidR="001E078E" w:rsidRPr="00DF252D">
        <w:t xml:space="preserve">. </w:t>
      </w:r>
      <w:r w:rsidR="006D6EE3" w:rsidRPr="00DF252D">
        <w:t>Minētais neatbilst Maksātnespējas likuma 95. panta ceturtās daļas regulējumam. Proti, Maksātnespējas likums neparedz gadījumus, kad parādnieka naudas līdzekļi juridiskās personas maksātnespējas procesā var tikt glabāti kontā, kas atvērts uz administratora vārda.</w:t>
      </w:r>
    </w:p>
    <w:p w14:paraId="675F6F8A" w14:textId="339AC9CD" w:rsidR="00921EC0" w:rsidRPr="00DF252D" w:rsidRDefault="00921EC0" w:rsidP="00921EC0">
      <w:pPr>
        <w:widowControl/>
        <w:spacing w:after="0" w:line="240" w:lineRule="auto"/>
        <w:ind w:firstLine="720"/>
        <w:jc w:val="both"/>
        <w:rPr>
          <w:rFonts w:eastAsia="Times New Roman"/>
          <w:iCs/>
        </w:rPr>
      </w:pPr>
      <w:r w:rsidRPr="00DF252D">
        <w:t xml:space="preserve">Šāds regulējums noteikts ar mērķi, lai </w:t>
      </w:r>
      <w:r w:rsidRPr="00DF252D">
        <w:rPr>
          <w:rFonts w:eastAsia="Times New Roman"/>
          <w:iCs/>
        </w:rPr>
        <w:t>nodrošinātu administratora veikto darbību, kas saistītas ar parādnieka naudas līdzekļu pārvaldību, caurskatāmību, tai skaitā, iespēju izsekot naudas plūsmai. Turklāt Maksātnespējas kontroles dienests, veicot juridisko personu maksātnespējas procesu norises tiesiskuma pārbaudi, no kredītiestādes var pieprasīt</w:t>
      </w:r>
      <w:r w:rsidRPr="00DF252D">
        <w:rPr>
          <w:rStyle w:val="Vresatsauce"/>
          <w:rFonts w:eastAsia="Times New Roman"/>
          <w:iCs/>
        </w:rPr>
        <w:footnoteReference w:id="6"/>
      </w:r>
      <w:r w:rsidRPr="00DF252D">
        <w:rPr>
          <w:rFonts w:eastAsia="Times New Roman"/>
          <w:iCs/>
        </w:rPr>
        <w:t xml:space="preserve"> tikai maksātnespējīgās juridiskās personas norēķinu konta pārskatus, nevis administratora personīgo norēķinu kontu pārskatus. </w:t>
      </w:r>
    </w:p>
    <w:p w14:paraId="61C1897F" w14:textId="124A0768" w:rsidR="00340841" w:rsidRPr="00DF252D" w:rsidRDefault="00340841" w:rsidP="00340841">
      <w:pPr>
        <w:widowControl/>
        <w:spacing w:after="0" w:line="240" w:lineRule="auto"/>
        <w:ind w:firstLine="709"/>
        <w:jc w:val="both"/>
      </w:pPr>
      <w:r w:rsidRPr="00DF252D">
        <w:t>Vienlaikus konstatēts, ka Administrators nav informējis kreditorus par personīgo norēķinu kontu izmantošanu Parādnieka mantas izsoļu organizēšanā, ko atzīst arī Paskaidrojumos.</w:t>
      </w:r>
    </w:p>
    <w:p w14:paraId="7312BA30" w14:textId="543C8062" w:rsidR="00921EC0" w:rsidRPr="00DF252D" w:rsidRDefault="00AC53A3" w:rsidP="00921EC0">
      <w:pPr>
        <w:widowControl/>
        <w:spacing w:after="0" w:line="240" w:lineRule="auto"/>
        <w:ind w:firstLine="720"/>
        <w:jc w:val="both"/>
      </w:pPr>
      <w:r w:rsidRPr="00DF252D">
        <w:t>Maksātnespējas likuma 6. panta 7. punktā nostiprināts atklātības princips, kas nosaka, ka, lai nodrošinātu uzticamību, informācijai par procesu ir jābūt pieejamai visām procesā iesaistītajām personām. Savukārt, Maksātnespējas likuma 81. panta otrā daļa nosaka, ka administrators ziņo kreditoriem par citiem jautājumiem, kuriem ir nozīme juridiskās personas maksātnespējas procesa norisē.</w:t>
      </w:r>
      <w:r w:rsidR="00D768D4" w:rsidRPr="00DF252D">
        <w:t xml:space="preserve"> </w:t>
      </w:r>
      <w:r w:rsidR="00921EC0" w:rsidRPr="00DF252D">
        <w:rPr>
          <w:bCs/>
          <w:iCs/>
        </w:rPr>
        <w:t>Maksātnespējas likuma 6. panta 7. punktā nostiprinātais atklātības princips un 81. pantā noteiktais kreditoru informēšanas pienākums nodrošina, ka kreditori tiek informēti par procesa norisi, ļaujot izteikt iebildumus par administratora darbībām.</w:t>
      </w:r>
    </w:p>
    <w:p w14:paraId="39627CBA" w14:textId="5D9FB5A5" w:rsidR="00D768D4" w:rsidRPr="00DF252D" w:rsidRDefault="00D768D4" w:rsidP="00D768D4">
      <w:pPr>
        <w:widowControl/>
        <w:spacing w:after="0" w:line="240" w:lineRule="auto"/>
        <w:ind w:firstLine="709"/>
        <w:jc w:val="both"/>
      </w:pPr>
      <w:r w:rsidRPr="00DF252D">
        <w:t xml:space="preserve">Paskaidrojumos norādīts, ka Administrators izmantojis personīgo norēķinu kontu </w:t>
      </w:r>
      <w:r w:rsidR="00692F41" w:rsidRPr="00DF252D">
        <w:t>/konta numurs/</w:t>
      </w:r>
      <w:r w:rsidRPr="00DF252D">
        <w:t xml:space="preserve">, ko izmanto maksātnespējas procesu nodrošināšanai gadījumā, ja kredītiestādes atsakās atvērt norēķinu kontu konkrētam maksātnespējas subjektam. Maksātnespējas kontroles dienestam ir zināms, ka atsevišķos gadījumos administratori saskaras ar problēmu kredītiestādēs uz parādnieka vārda atvērt kontu. Šādos gadījumos atkāpe no Maksātnespējas likuma 95. panta ceturtās daļas regulējuma ir pieļaujama tikai izņēmuma kārtā, proti, ja administratoram neizdodas atvērt norēķinu kontu nevienā no kredītiestādēm. </w:t>
      </w:r>
      <w:r w:rsidR="00C55634" w:rsidRPr="00DF252D">
        <w:t xml:space="preserve">Konkrētajā </w:t>
      </w:r>
      <w:r w:rsidRPr="00DF252D">
        <w:t>gadījumā Parādniekam bija norēķinu konts, bet Administrators bija grūtības to reģistrēt Sistēmā, līdz ar to izmantoja personīgo norēķinu kontu.</w:t>
      </w:r>
    </w:p>
    <w:p w14:paraId="1257C078" w14:textId="196B2BF3" w:rsidR="00D768D4" w:rsidRPr="00DF252D" w:rsidRDefault="00D768D4" w:rsidP="00D768D4">
      <w:pPr>
        <w:widowControl/>
        <w:spacing w:after="0" w:line="240" w:lineRule="auto"/>
        <w:ind w:firstLine="709"/>
        <w:jc w:val="both"/>
      </w:pPr>
      <w:r w:rsidRPr="00DF252D">
        <w:t>Papildus Administrators pamīšus izmantojis kādu no citiem</w:t>
      </w:r>
      <w:r w:rsidR="00A24FE8" w:rsidRPr="00DF252D">
        <w:t xml:space="preserve"> diviem</w:t>
      </w:r>
      <w:r w:rsidRPr="00DF252D">
        <w:t xml:space="preserve"> personīgajiem norēķinu kontiem (</w:t>
      </w:r>
      <w:r w:rsidR="00071FB2" w:rsidRPr="00DF252D">
        <w:t xml:space="preserve">/konta numurs/ </w:t>
      </w:r>
      <w:r w:rsidRPr="00DF252D">
        <w:t xml:space="preserve">vai </w:t>
      </w:r>
      <w:r w:rsidR="00071FB2" w:rsidRPr="00DF252D">
        <w:t>/konta numurs/</w:t>
      </w:r>
      <w:r w:rsidRPr="00DF252D">
        <w:t>), lai pārskaitītu Parādnieka mantas izsolē iegūtos naudas līdzekļus uz Parādnieka kontu. Minēto rīcību Administrators izskaidrojis ar to, ka par naudas pārskatījumiem netika piemērotas komisijas maksas</w:t>
      </w:r>
      <w:r w:rsidR="00A27D71" w:rsidRPr="00DF252D">
        <w:t>.</w:t>
      </w:r>
    </w:p>
    <w:p w14:paraId="20BDE064" w14:textId="29753F41" w:rsidR="00887CD9" w:rsidRPr="00DF252D" w:rsidRDefault="0027226C" w:rsidP="00B61BFC">
      <w:pPr>
        <w:widowControl/>
        <w:spacing w:after="0" w:line="240" w:lineRule="auto"/>
        <w:ind w:firstLine="709"/>
        <w:jc w:val="both"/>
      </w:pPr>
      <w:r w:rsidRPr="00DF252D">
        <w:t xml:space="preserve">Izvērtējot pārbaudē iesniegtos Administratora norēķinu konta pārskatus, Maksātnespējas kontroles dienests konstatē, ka </w:t>
      </w:r>
      <w:r w:rsidR="00F53A23" w:rsidRPr="00DF252D">
        <w:t xml:space="preserve">Administrators Parādnieka mantas izsolē iegūtos naudas </w:t>
      </w:r>
      <w:r w:rsidR="003328A5" w:rsidRPr="00DF252D">
        <w:t>līdzekļus</w:t>
      </w:r>
      <w:r w:rsidR="00F53A23" w:rsidRPr="00DF252D">
        <w:t xml:space="preserve"> tajā pašā dienā pārskaitījis</w:t>
      </w:r>
      <w:r w:rsidR="00A27D71" w:rsidRPr="00DF252D">
        <w:t xml:space="preserve"> uz Parādnieka norēķinu kontu.</w:t>
      </w:r>
      <w:r w:rsidR="004567A7" w:rsidRPr="00DF252D">
        <w:t xml:space="preserve"> </w:t>
      </w:r>
      <w:r w:rsidRPr="00DF252D">
        <w:t>Par naudas pā</w:t>
      </w:r>
      <w:r w:rsidR="00BF3C31" w:rsidRPr="00DF252D">
        <w:t>rvedumiem</w:t>
      </w:r>
      <w:r w:rsidRPr="00DF252D">
        <w:t xml:space="preserve"> netika piemērotas kredītiestādes komisijas maksas. Ņemot vērā minēto kopsakarā ar Administratora sniegto skaidrojumu par Sistēmas kļūdu, secināms, ka Administratora priekšstats par problēmām ar Parādnieka konta izmantošanu Parādnieka mantas izsoles organizēšanām bija neviltots un nav saskatāma mantiskā ieinteresētība personīgo norēķinu konta izmantošanai.</w:t>
      </w:r>
      <w:r w:rsidR="00894A84" w:rsidRPr="00DF252D">
        <w:t xml:space="preserve"> </w:t>
      </w:r>
      <w:r w:rsidR="00C9001D" w:rsidRPr="00DF252D">
        <w:t xml:space="preserve">Vienlaikus atzīstams, ka </w:t>
      </w:r>
      <w:r w:rsidR="0024602A" w:rsidRPr="00DF252D">
        <w:t>Administrators nav informējis kreditorus par</w:t>
      </w:r>
      <w:r w:rsidR="00921EC0" w:rsidRPr="00DF252D">
        <w:t xml:space="preserve"> minētajiem apstākļiem.</w:t>
      </w:r>
    </w:p>
    <w:p w14:paraId="5D4BAC40" w14:textId="2DD02040" w:rsidR="00FC13C1" w:rsidRPr="00DF252D" w:rsidRDefault="00894A84" w:rsidP="00FC13C1">
      <w:pPr>
        <w:widowControl/>
        <w:spacing w:after="0" w:line="240" w:lineRule="auto"/>
        <w:ind w:firstLine="709"/>
        <w:jc w:val="both"/>
        <w:rPr>
          <w:bCs/>
          <w:iCs/>
        </w:rPr>
      </w:pPr>
      <w:r w:rsidRPr="00DF252D">
        <w:rPr>
          <w:bCs/>
          <w:iCs/>
        </w:rPr>
        <w:t>Kreditoru informēšanas</w:t>
      </w:r>
      <w:r w:rsidR="00FC13C1" w:rsidRPr="00DF252D">
        <w:rPr>
          <w:bCs/>
          <w:iCs/>
        </w:rPr>
        <w:t xml:space="preserve"> mērķis ir nodrošināt kreditoru uzticamību administratora veiktajām darbībām maksātnespējas procesa ietvaros, kā arī kreditoriem sniegt iespēju iegūt informāciju par administratora darbību pamatotību un izteikt savu viedokli par administratora rīcību. Vienlaikus administratoram ir pienākums nodrošināt maksātnespējas procesa ietvaros veikto darbību, tajā skaitā arī to, kas saistītas ar parādnieka mantas pārvaldīšanu, caurskatāmību.</w:t>
      </w:r>
    </w:p>
    <w:p w14:paraId="708B8ADB" w14:textId="77777777" w:rsidR="006241B7" w:rsidRPr="00DF252D" w:rsidRDefault="006241B7" w:rsidP="006241B7">
      <w:pPr>
        <w:widowControl/>
        <w:spacing w:after="0" w:line="240" w:lineRule="auto"/>
        <w:ind w:firstLine="709"/>
        <w:jc w:val="both"/>
      </w:pPr>
      <w:r w:rsidRPr="00DF252D">
        <w:lastRenderedPageBreak/>
        <w:t>Maksātnespējīgās juridiskās personas naudas līdzekļu administrēšana kontā, kas atvērts uz administratora vārda, var apdraudēt kreditoru tiesības saņemt sava prasījuma apmierināšanu pēc iespējas ātrāk. Piemēram, ja pret administratoru kā pret fizisku personu tiks veiktas piedziņas darbības vai apķīlāti naudas līdzekļi, naudas līdzekļu izmantošana kreditoru prasījumu segšanai var tikt būtiski ierobežota. Līdz ar to, Parādnieka naudas līdzekļu administrēšana kontā, kas atvērts uz Administratora vārda, ir būtisks apstāklis, par ko kreditori informējami Maksātnespējas likuma 81. panta otrās daļas kārtībā.</w:t>
      </w:r>
    </w:p>
    <w:p w14:paraId="1B114978" w14:textId="21553041" w:rsidR="00B87502" w:rsidRPr="00DF252D" w:rsidRDefault="006241B7" w:rsidP="002D64B7">
      <w:pPr>
        <w:widowControl/>
        <w:spacing w:after="0" w:line="240" w:lineRule="auto"/>
        <w:ind w:firstLine="709"/>
        <w:jc w:val="both"/>
      </w:pPr>
      <w:r w:rsidRPr="00DF252D">
        <w:t xml:space="preserve">No minētā secināms, ka administratoram ir pienākums informēt parādnieka kreditorus un Maksātnespējas kontroles dienestu par to, ka uz administratora vārda tiks atvērts konts, tādējādi ievērojot </w:t>
      </w:r>
      <w:r w:rsidRPr="00DF252D">
        <w:rPr>
          <w:lang w:eastAsia="en-US"/>
          <w14:ligatures w14:val="standardContextual"/>
        </w:rPr>
        <w:t xml:space="preserve">arī </w:t>
      </w:r>
      <w:r w:rsidRPr="00DF252D">
        <w:t>Maksātnespējas kontroles dienesta tiesības veikt uzraudzības pasākumus.</w:t>
      </w:r>
    </w:p>
    <w:p w14:paraId="46512574" w14:textId="15D14101" w:rsidR="00397BDB" w:rsidRPr="00DF252D" w:rsidRDefault="00BA208A" w:rsidP="002D64B7">
      <w:pPr>
        <w:widowControl/>
        <w:spacing w:after="0" w:line="240" w:lineRule="auto"/>
        <w:ind w:firstLine="709"/>
        <w:jc w:val="both"/>
      </w:pPr>
      <w:r w:rsidRPr="00DF252D">
        <w:rPr>
          <w:rFonts w:eastAsia="Times New Roman"/>
        </w:rPr>
        <w:t>Ņemot vērā, ka Administrators ir izmantojis personīgos norēķinu kontus, par ko nav sn</w:t>
      </w:r>
      <w:r w:rsidR="004D19FF" w:rsidRPr="00DF252D">
        <w:rPr>
          <w:rFonts w:eastAsia="Times New Roman"/>
        </w:rPr>
        <w:t>iegta informācija kreditoriem</w:t>
      </w:r>
      <w:r w:rsidR="000460D9" w:rsidRPr="00DF252D">
        <w:rPr>
          <w:rFonts w:eastAsia="Times New Roman"/>
        </w:rPr>
        <w:t xml:space="preserve"> un Maksātnespējas kontroles dienestam</w:t>
      </w:r>
      <w:r w:rsidR="004D19FF" w:rsidRPr="00DF252D">
        <w:rPr>
          <w:rFonts w:eastAsia="Times New Roman"/>
        </w:rPr>
        <w:t xml:space="preserve">, secināms, ka </w:t>
      </w:r>
      <w:r w:rsidR="004D19FF" w:rsidRPr="00DF252D">
        <w:t xml:space="preserve">Administrators nav ievērojis </w:t>
      </w:r>
      <w:r w:rsidR="004D19FF" w:rsidRPr="00DF252D">
        <w:rPr>
          <w:rFonts w:eastAsia="Times New Roman"/>
        </w:rPr>
        <w:t xml:space="preserve">Maksātnespējas </w:t>
      </w:r>
      <w:r w:rsidR="004D19FF" w:rsidRPr="00DF252D">
        <w:t>likuma 6. panta 7. punkta, 81. panta otrās daļ</w:t>
      </w:r>
      <w:r w:rsidR="00FF4A97" w:rsidRPr="00DF252D">
        <w:t>u kopsakarā ar</w:t>
      </w:r>
      <w:r w:rsidR="004D19FF" w:rsidRPr="00DF252D">
        <w:t xml:space="preserve"> </w:t>
      </w:r>
      <w:r w:rsidR="004D19FF" w:rsidRPr="00DF252D">
        <w:rPr>
          <w:rFonts w:eastAsia="Times New Roman"/>
        </w:rPr>
        <w:t xml:space="preserve">95. panta ceturtās daļas </w:t>
      </w:r>
      <w:r w:rsidR="00FF4A97" w:rsidRPr="00DF252D">
        <w:rPr>
          <w:rFonts w:eastAsia="Times New Roman"/>
        </w:rPr>
        <w:t>prasībām.</w:t>
      </w:r>
    </w:p>
    <w:p w14:paraId="7376FC6C" w14:textId="259B3974" w:rsidR="005121B5" w:rsidRPr="00DF252D" w:rsidRDefault="005121B5" w:rsidP="005121B5">
      <w:pPr>
        <w:widowControl/>
        <w:spacing w:after="0" w:line="240" w:lineRule="auto"/>
        <w:ind w:firstLine="720"/>
        <w:jc w:val="both"/>
      </w:pPr>
      <w:r w:rsidRPr="00DF252D">
        <w:rPr>
          <w:rFonts w:eastAsia="Times New Roman"/>
          <w:b/>
          <w:bCs/>
        </w:rPr>
        <w:t>[</w:t>
      </w:r>
      <w:r w:rsidR="00547085" w:rsidRPr="00DF252D">
        <w:rPr>
          <w:rFonts w:eastAsia="Times New Roman"/>
          <w:b/>
          <w:bCs/>
        </w:rPr>
        <w:t>4</w:t>
      </w:r>
      <w:r w:rsidRPr="00DF252D">
        <w:rPr>
          <w:rFonts w:eastAsia="Times New Roman"/>
          <w:b/>
          <w:bCs/>
        </w:rPr>
        <w:t xml:space="preserve">] Par kreditoru, kas atrodas citās Eiropas </w:t>
      </w:r>
      <w:r w:rsidR="00707395" w:rsidRPr="00DF252D">
        <w:rPr>
          <w:rFonts w:eastAsia="Times New Roman"/>
          <w:b/>
          <w:bCs/>
        </w:rPr>
        <w:t>S</w:t>
      </w:r>
      <w:r w:rsidRPr="00DF252D">
        <w:rPr>
          <w:rFonts w:eastAsia="Times New Roman"/>
          <w:b/>
          <w:bCs/>
        </w:rPr>
        <w:t>avienības dalībvalstīs, neinformēšanu par Parādnieka maksātnespējas procesa pasludināšanu.</w:t>
      </w:r>
    </w:p>
    <w:p w14:paraId="5ABF3CCA" w14:textId="77777777" w:rsidR="005C5030" w:rsidRPr="00DF252D" w:rsidRDefault="005121B5" w:rsidP="005121B5">
      <w:pPr>
        <w:tabs>
          <w:tab w:val="left" w:pos="0"/>
        </w:tabs>
        <w:autoSpaceDE w:val="0"/>
        <w:autoSpaceDN w:val="0"/>
        <w:adjustRightInd w:val="0"/>
        <w:spacing w:after="0" w:line="240" w:lineRule="auto"/>
        <w:ind w:firstLine="709"/>
        <w:jc w:val="both"/>
      </w:pPr>
      <w:r w:rsidRPr="00DF252D">
        <w:rPr>
          <w:rStyle w:val="apple-style-span"/>
          <w:shd w:val="clear" w:color="auto" w:fill="FFFFFF"/>
        </w:rPr>
        <w:t xml:space="preserve">Atbilstoši </w:t>
      </w:r>
      <w:r w:rsidRPr="00DF252D">
        <w:t xml:space="preserve">Līguma par Eiropas Savienības darbību 288. pantam regulas ir vispārpiemērojamas un tās uzliek saistības kopumā un ir tieši piemērojamas visās dalībvalstīs. </w:t>
      </w:r>
      <w:r w:rsidR="00292DBC" w:rsidRPr="00DF252D">
        <w:t xml:space="preserve">Ievērojot minēto, </w:t>
      </w:r>
      <w:r w:rsidR="00292DBC" w:rsidRPr="00DF252D">
        <w:rPr>
          <w:rFonts w:ascii="TimesNewRomanPSMT" w:hAnsi="TimesNewRomanPSMT" w:cs="TimesNewRomanPSMT"/>
        </w:rPr>
        <w:t>Eiropas Parlamenta</w:t>
      </w:r>
      <w:r w:rsidR="00292DBC" w:rsidRPr="00DF252D">
        <w:rPr>
          <w:iCs/>
        </w:rPr>
        <w:t xml:space="preserve"> </w:t>
      </w:r>
      <w:r w:rsidR="00292DBC" w:rsidRPr="00DF252D">
        <w:rPr>
          <w:rFonts w:ascii="TimesNewRomanPSMT" w:hAnsi="TimesNewRomanPSMT" w:cs="TimesNewRomanPSMT"/>
        </w:rPr>
        <w:t xml:space="preserve">un Padomes regula Nr. 2015/848 </w:t>
      </w:r>
      <w:r w:rsidR="00292DBC" w:rsidRPr="00DF252D">
        <w:t>(turpmāk – Regula) Latvijas Republikā (turpmāk – Latvija) ir tieši piemērojama.</w:t>
      </w:r>
    </w:p>
    <w:p w14:paraId="17974FAB" w14:textId="1B10BB27" w:rsidR="005C5030" w:rsidRPr="00DF252D" w:rsidRDefault="004D2591" w:rsidP="004C7267">
      <w:pPr>
        <w:tabs>
          <w:tab w:val="left" w:pos="0"/>
        </w:tabs>
        <w:autoSpaceDE w:val="0"/>
        <w:autoSpaceDN w:val="0"/>
        <w:adjustRightInd w:val="0"/>
        <w:spacing w:after="0" w:line="240" w:lineRule="auto"/>
        <w:ind w:firstLine="709"/>
        <w:jc w:val="both"/>
      </w:pPr>
      <w:r w:rsidRPr="00DF252D">
        <w:t>Ievērojot, ka Parādnieka maksātnespējas procesā konstatēts citā Eiropas Savienības dalībvalstī reģistrēts kreditors, secināms, ka Parādnieka maksātnespējas procesā ir konstatējams pārrobežu elements Eiropas Savienības telpā un Parādnieka maksātnespējas procesā ir piemērojama Regula.</w:t>
      </w:r>
    </w:p>
    <w:p w14:paraId="0B2318E1" w14:textId="77777777" w:rsidR="005121B5" w:rsidRPr="00DF252D" w:rsidRDefault="005121B5" w:rsidP="005121B5">
      <w:pPr>
        <w:pStyle w:val="naisf"/>
        <w:spacing w:before="0" w:after="0"/>
        <w:ind w:firstLine="709"/>
        <w:rPr>
          <w:bCs/>
        </w:rPr>
      </w:pPr>
      <w:r w:rsidRPr="00DF252D">
        <w:t>Viens no Regulas mērķiem ir tiesiskās paļāvības un darījumu drošības aizsargāšana pārrobežu maksātnespējas gadījumā. Regula respektē un aizsargā to kreditoru tiesības, kas atrodas citās dalībvalstīs. Atbilstoši Regulas 54. panta 1. punktam, tiklīdz kādā dalībvalstī ir sākta maksātnespējas procedūra, šīs valsts tiesa, kurai ir piekritība, vai tās ieceltais administrators nekavējoties informē zināmos ārvalstu kreditorus.</w:t>
      </w:r>
    </w:p>
    <w:p w14:paraId="5C7E1966" w14:textId="77777777" w:rsidR="005121B5" w:rsidRPr="00DF252D" w:rsidRDefault="005121B5" w:rsidP="005121B5">
      <w:pPr>
        <w:tabs>
          <w:tab w:val="left" w:pos="0"/>
        </w:tabs>
        <w:autoSpaceDE w:val="0"/>
        <w:autoSpaceDN w:val="0"/>
        <w:adjustRightInd w:val="0"/>
        <w:spacing w:after="0" w:line="240" w:lineRule="auto"/>
        <w:ind w:firstLine="709"/>
        <w:jc w:val="both"/>
      </w:pPr>
      <w:r w:rsidRPr="00DF252D">
        <w:t>Jāņem vērā, ka tiesai, pasludinot galveno maksātnespējas procedūru, ne vienmēr ir pienākums izvērtēt, vai šai procedūrai ir pārrobežu ietekme. Turklāt maksātnespējas procedūras pasludināšanas brīdī ne vienmēr ir zināms fakts, ka parādniekam ir manta citā dalībvalstī vai apstāklis, ka kāds no kreditoriem ir no citas dalībvalsts. Tādēļ maksātnespējas procedūra var tikt uzskatīta par pārrobežu maksātnespējas procedūru arī tad, ja tiesnesis (kompetenta institūcija) nav izteicies par konkrētās maksātnespējas procedūras pārrobežu ietekmi.</w:t>
      </w:r>
      <w:r w:rsidRPr="00DF252D">
        <w:rPr>
          <w:rStyle w:val="Vresatsauce"/>
        </w:rPr>
        <w:footnoteReference w:id="7"/>
      </w:r>
      <w:r w:rsidRPr="00DF252D">
        <w:t xml:space="preserve"> </w:t>
      </w:r>
    </w:p>
    <w:p w14:paraId="7FDE9E61" w14:textId="7943C7FA" w:rsidR="005121B5" w:rsidRPr="00DF252D" w:rsidRDefault="005121B5" w:rsidP="005121B5">
      <w:pPr>
        <w:tabs>
          <w:tab w:val="left" w:pos="0"/>
        </w:tabs>
        <w:autoSpaceDE w:val="0"/>
        <w:autoSpaceDN w:val="0"/>
        <w:adjustRightInd w:val="0"/>
        <w:spacing w:after="0" w:line="240" w:lineRule="auto"/>
        <w:ind w:firstLine="709"/>
        <w:jc w:val="both"/>
      </w:pPr>
      <w:r w:rsidRPr="00DF252D">
        <w:t xml:space="preserve">Atbilstoši Regulas preambulas 26. apsvērumam, uzsākot parādnieka maksātnespējas procesu jebkurā Eiropas Savienības dalībvalstī, piemēro attiecīgās dalībvalsts normatīvo regulējumu. Proti, no minētā izriet, ka Latvijā pasludinātā maksātnespējas procesā uz kreditoriem, tajā skaitā, uz kreditoriem, kuri atrodas citās Eiropas Savienības dalībvalstīs, ir attiecināmas Maksātnespējas likumā nostiprinātās tiesības un pienākumi. </w:t>
      </w:r>
    </w:p>
    <w:p w14:paraId="1A6ED944" w14:textId="77777777" w:rsidR="005121B5" w:rsidRPr="00DF252D" w:rsidRDefault="005121B5" w:rsidP="005121B5">
      <w:pPr>
        <w:tabs>
          <w:tab w:val="left" w:pos="0"/>
        </w:tabs>
        <w:autoSpaceDE w:val="0"/>
        <w:autoSpaceDN w:val="0"/>
        <w:adjustRightInd w:val="0"/>
        <w:spacing w:after="0" w:line="240" w:lineRule="auto"/>
        <w:ind w:firstLine="709"/>
        <w:jc w:val="both"/>
      </w:pPr>
      <w:r w:rsidRPr="00DF252D">
        <w:t xml:space="preserve">Saskaņā ar Maksātnespējas likuma 73. panta pirmo daļu kreditoru prasījumi pret parādnieku iesniedzami administratoram mēneša laikā no dienas, kad </w:t>
      </w:r>
      <w:r w:rsidRPr="00DF252D">
        <w:rPr>
          <w:color w:val="000000"/>
        </w:rPr>
        <w:t xml:space="preserve">Latvijas Republikas Uzņēmumu reģistra vestajā maksātnespējas reģistrā (turpmāk – maksātnespējas reģistrs) </w:t>
      </w:r>
      <w:r w:rsidRPr="00DF252D">
        <w:t>izdarīts ieraksts par parādnieka maksātnespējas procesa pasludināšanu. Savukārt minētā panta otrajā daļā noteikts, ka gadījumā, ja kreditors nokavējis šā panta pirmajā daļā minēto prasījumu iesniegšanas termiņu, viņš savu prasījumu pret parādnieku var iesniegt termiņā, kas nav ilgāks par sešiem mēnešiem no dienas, kad maksātnespējas reģistrā izdarīts ieraksts par parādnieka maksātnespējas procesa pasludināšanu, bet ne vēlāk kā līdz dienai, kad šajā likumā noteiktajā kārtībā sastādīts kreditoru prasījumu apmierināšanas plāns.</w:t>
      </w:r>
    </w:p>
    <w:p w14:paraId="2991BA14" w14:textId="77777777" w:rsidR="005121B5" w:rsidRPr="00DF252D" w:rsidRDefault="005121B5" w:rsidP="005121B5">
      <w:pPr>
        <w:tabs>
          <w:tab w:val="left" w:pos="0"/>
        </w:tabs>
        <w:autoSpaceDE w:val="0"/>
        <w:autoSpaceDN w:val="0"/>
        <w:adjustRightInd w:val="0"/>
        <w:spacing w:after="0" w:line="240" w:lineRule="auto"/>
        <w:ind w:firstLine="709"/>
        <w:jc w:val="both"/>
      </w:pPr>
      <w:r w:rsidRPr="00DF252D">
        <w:lastRenderedPageBreak/>
        <w:t xml:space="preserve">Norādāms, ka kreditora prasījuma iesniegšanas brīdis tieši ietekmē kreditoram piešķirtās tiesības parādnieka maksātnespējas procesā. </w:t>
      </w:r>
      <w:r w:rsidRPr="00DF252D">
        <w:rPr>
          <w:rFonts w:eastAsia="Times New Roman"/>
        </w:rPr>
        <w:t>Pēc šī termiņa iestājas noilgums, līdz ar to kreditors zaudē kreditora statusu un savas prasījuma tiesības pret parādnieku.</w:t>
      </w:r>
    </w:p>
    <w:p w14:paraId="569C69D4" w14:textId="3361F09C" w:rsidR="005121B5" w:rsidRPr="00DF252D" w:rsidRDefault="005121B5" w:rsidP="005121B5">
      <w:pPr>
        <w:tabs>
          <w:tab w:val="left" w:pos="0"/>
        </w:tabs>
        <w:autoSpaceDE w:val="0"/>
        <w:autoSpaceDN w:val="0"/>
        <w:adjustRightInd w:val="0"/>
        <w:spacing w:after="0" w:line="240" w:lineRule="auto"/>
        <w:ind w:firstLine="709"/>
        <w:jc w:val="both"/>
      </w:pPr>
      <w:r w:rsidRPr="00DF252D">
        <w:t>Maksātnespējas likuma 6. panta 2. punktā ir nostiprināts kreditoru vienlīdzības princips, kas nosaka, ka kreditoriem tiek dotas vienādas iespējas piedalīties procesā un saņemt savu prasījumu apmierinājumu saskaņā ar saistībām, kuras tie nodibinājuši ar parādnieku pirms procesa uzsākšanas. Līdz ar to norādāms, ka, lai visiem kreditoriem būtu nodrošinātas vienādas tiesīb</w:t>
      </w:r>
      <w:r w:rsidR="0004265C" w:rsidRPr="00DF252D">
        <w:t>a</w:t>
      </w:r>
      <w:r w:rsidRPr="00DF252D">
        <w:t xml:space="preserve">s piedalīties parādnieka maksātnespējas procesā, administratoram, pēc parādnieka maksātnespējas procesa pasludināšanas, savlaicīgi ir jāpārliecinās, vai parādniekam ir konstatējami kreditori citās Eiropas Savienības dalībvalstīs un jāinformē tie par parādnieka maksātnespējas procesu, nodrošinot iespēju kreditoriem izlietot savas tiesības un iesniegt savu kreditora prasījumu Maksātnespējas likuma 73. panta pirmajā daļā noteiktajā termiņā. </w:t>
      </w:r>
    </w:p>
    <w:p w14:paraId="4994DEAE" w14:textId="77777777" w:rsidR="005121B5" w:rsidRPr="00DF252D" w:rsidRDefault="005121B5" w:rsidP="005121B5">
      <w:pPr>
        <w:tabs>
          <w:tab w:val="left" w:pos="0"/>
        </w:tabs>
        <w:autoSpaceDE w:val="0"/>
        <w:autoSpaceDN w:val="0"/>
        <w:adjustRightInd w:val="0"/>
        <w:spacing w:after="0" w:line="240" w:lineRule="auto"/>
        <w:ind w:firstLine="709"/>
        <w:jc w:val="both"/>
        <w:rPr>
          <w:color w:val="000000" w:themeColor="text1"/>
        </w:rPr>
      </w:pPr>
      <w:r w:rsidRPr="00DF252D">
        <w:rPr>
          <w:color w:val="000000" w:themeColor="text1"/>
        </w:rPr>
        <w:t>Atbilstoši Maksātnespējas likuma 26. panta otrajai daļai administratora pienākums ir nodrošināt efektīvu un likumīgu maksātnespējas procesa norisi un mērķu sasniegšanu. Proti, administratora darbībām vienlaikus jāatbilst efektivitātes principam un likuma normām. Efektivitātes princips noteic, ka maksātnespējas procesa ietvaros piemērojami tādi pasākumi, kas ļauj ar vismazāko resursu patēriņu vispilnīgāk sasniegt procesa mērķi, savukārt jēdziens "likumīgs" paredz, ka administratoram maksātnespējas procesā jādarbojas ar likumu piešķirto pilnvaru ietvaros, nodrošinot, ka viņa darbības atbilst ne tikai spēkā esošajiem normatīvajiem aktiem, bet arī tiesību sistēmai kopumā.</w:t>
      </w:r>
    </w:p>
    <w:p w14:paraId="6F2F8BEE" w14:textId="4B5F091A" w:rsidR="005121B5" w:rsidRPr="00DF252D" w:rsidRDefault="005121B5" w:rsidP="005121B5">
      <w:pPr>
        <w:tabs>
          <w:tab w:val="left" w:pos="0"/>
        </w:tabs>
        <w:autoSpaceDE w:val="0"/>
        <w:autoSpaceDN w:val="0"/>
        <w:adjustRightInd w:val="0"/>
        <w:spacing w:after="0" w:line="240" w:lineRule="auto"/>
        <w:ind w:firstLine="709"/>
        <w:jc w:val="both"/>
        <w:rPr>
          <w:color w:val="000000" w:themeColor="text1"/>
        </w:rPr>
      </w:pPr>
      <w:r w:rsidRPr="00DF252D">
        <w:rPr>
          <w:color w:val="000000" w:themeColor="text1"/>
        </w:rPr>
        <w:t>Administrator</w:t>
      </w:r>
      <w:r w:rsidR="00C77A52" w:rsidRPr="00DF252D">
        <w:rPr>
          <w:color w:val="000000" w:themeColor="text1"/>
        </w:rPr>
        <w:t>s atzinis, ka nav informējis</w:t>
      </w:r>
      <w:r w:rsidRPr="00DF252D">
        <w:rPr>
          <w:color w:val="000000" w:themeColor="text1"/>
        </w:rPr>
        <w:t xml:space="preserve"> citās Eiropas Savienības dalībvalstīs esošos Parādnieka kreditorus par Parādnieka maksātnespējas procesu. Līdz ar to secināms, ka kreditori zaudējuši savas prasījuma tiesības pret Parādnieku.</w:t>
      </w:r>
    </w:p>
    <w:p w14:paraId="0E1817AF" w14:textId="210F7100" w:rsidR="005121B5" w:rsidRPr="00DF252D" w:rsidRDefault="005121B5" w:rsidP="005121B5">
      <w:pPr>
        <w:tabs>
          <w:tab w:val="left" w:pos="0"/>
        </w:tabs>
        <w:autoSpaceDE w:val="0"/>
        <w:autoSpaceDN w:val="0"/>
        <w:adjustRightInd w:val="0"/>
        <w:spacing w:after="0" w:line="240" w:lineRule="auto"/>
        <w:ind w:firstLine="709"/>
        <w:jc w:val="both"/>
      </w:pPr>
      <w:r w:rsidRPr="00DF252D">
        <w:rPr>
          <w:color w:val="000000" w:themeColor="text1"/>
        </w:rPr>
        <w:t>Ievērojot minēto, secināms, ka Administrator</w:t>
      </w:r>
      <w:r w:rsidR="00C77A52" w:rsidRPr="00DF252D">
        <w:rPr>
          <w:color w:val="000000" w:themeColor="text1"/>
        </w:rPr>
        <w:t>s</w:t>
      </w:r>
      <w:r w:rsidRPr="00DF252D">
        <w:rPr>
          <w:color w:val="000000" w:themeColor="text1"/>
        </w:rPr>
        <w:t>, nenosūtot paziņojumu par Parādnieka maksātnespējas procesu Parādnieka kreditoriem, kuri atrodas citās Eiropas Savienības dalībvalstīs, nav ievēroj</w:t>
      </w:r>
      <w:r w:rsidR="00C77A52" w:rsidRPr="00DF252D">
        <w:rPr>
          <w:color w:val="000000" w:themeColor="text1"/>
        </w:rPr>
        <w:t>is</w:t>
      </w:r>
      <w:r w:rsidRPr="00DF252D">
        <w:rPr>
          <w:color w:val="000000" w:themeColor="text1"/>
        </w:rPr>
        <w:t xml:space="preserve"> Regulas </w:t>
      </w:r>
      <w:r w:rsidRPr="00DF252D">
        <w:t>54. panta 1. punkta un Maksātnespējas likuma 26. panta otrāds daļas noteikumus, kā arī pārkāp</w:t>
      </w:r>
      <w:r w:rsidR="00C77A52" w:rsidRPr="00DF252D">
        <w:t>is</w:t>
      </w:r>
      <w:r w:rsidRPr="00DF252D">
        <w:t xml:space="preserve"> Maksātnespējas likuma 6. panta 2. punktā nostiprināto kreditoru vienlīdzības principu, liedzot Parādnieka potenciālajiem kreditoriem izlietot tiem ar Maksātnespējas likumu piešķirtās tiesības iesniegt savu kreditora prasījumu Maksātnespējas likuma 73. panta pirmajā daļā noteiktajā termiņā. </w:t>
      </w:r>
    </w:p>
    <w:p w14:paraId="59630080" w14:textId="61A67354" w:rsidR="000F0CAD" w:rsidRPr="00DF252D" w:rsidRDefault="005F6B98" w:rsidP="000F0CAD">
      <w:pPr>
        <w:widowControl/>
        <w:spacing w:after="0" w:line="240" w:lineRule="auto"/>
        <w:ind w:firstLine="709"/>
        <w:jc w:val="both"/>
        <w:rPr>
          <w:lang w:eastAsia="en-US"/>
        </w:rPr>
      </w:pPr>
      <w:r w:rsidRPr="00DF252D">
        <w:rPr>
          <w:bCs/>
        </w:rPr>
        <w:t>[</w:t>
      </w:r>
      <w:r w:rsidR="00A766E6" w:rsidRPr="00DF252D">
        <w:rPr>
          <w:bCs/>
        </w:rPr>
        <w:t>5</w:t>
      </w:r>
      <w:r w:rsidRPr="00DF252D">
        <w:rPr>
          <w:bCs/>
        </w:rPr>
        <w:t>]</w:t>
      </w:r>
      <w:r w:rsidRPr="00DF252D">
        <w:rPr>
          <w:b/>
        </w:rPr>
        <w:t> </w:t>
      </w:r>
      <w:r w:rsidRPr="00DF252D">
        <w:t xml:space="preserve">Vienlaikus Maksātnespējas kontroles dienests pārbaudes ietvaros ir konstatējis pārkāpumus saistībā ar </w:t>
      </w:r>
      <w:r w:rsidRPr="00DF252D">
        <w:rPr>
          <w:rFonts w:eastAsia="Times New Roman"/>
        </w:rPr>
        <w:t>Administratora rīcību</w:t>
      </w:r>
      <w:r w:rsidR="003D1CF0" w:rsidRPr="00DF252D">
        <w:rPr>
          <w:rFonts w:eastAsia="Times New Roman"/>
        </w:rPr>
        <w:t>, kas nav būtiski ietekmējuši</w:t>
      </w:r>
      <w:r w:rsidRPr="00DF252D">
        <w:rPr>
          <w:rFonts w:eastAsia="Times New Roman"/>
        </w:rPr>
        <w:t xml:space="preserve"> </w:t>
      </w:r>
      <w:r w:rsidR="003D1CF0" w:rsidRPr="00DF252D">
        <w:rPr>
          <w:lang w:eastAsia="en-US"/>
        </w:rPr>
        <w:t>Parādnieka maksātnespējas procesa efektīvu un likumīgu norisi</w:t>
      </w:r>
      <w:r w:rsidR="000F0CAD" w:rsidRPr="00DF252D">
        <w:rPr>
          <w:lang w:eastAsia="en-US"/>
        </w:rPr>
        <w:t xml:space="preserve">. Līdz ar to </w:t>
      </w:r>
      <w:r w:rsidR="003D1CF0" w:rsidRPr="00DF252D">
        <w:rPr>
          <w:lang w:eastAsia="en-US"/>
        </w:rPr>
        <w:t>ir piemērojama Administratora rīcības nepareizības izskaidrošana (neatzīstot normatīvo aktu pārkāpumu)</w:t>
      </w:r>
      <w:r w:rsidR="000F0CAD" w:rsidRPr="00DF252D">
        <w:rPr>
          <w:lang w:eastAsia="en-US"/>
        </w:rPr>
        <w:t>, kā rezultātā būs iespējams turpmāk nodrošināt Parādnieka</w:t>
      </w:r>
      <w:r w:rsidR="0086636B" w:rsidRPr="00DF252D">
        <w:rPr>
          <w:lang w:eastAsia="en-US"/>
        </w:rPr>
        <w:t xml:space="preserve"> </w:t>
      </w:r>
      <w:r w:rsidR="000F0CAD" w:rsidRPr="00DF252D">
        <w:rPr>
          <w:lang w:eastAsia="en-US"/>
        </w:rPr>
        <w:t>maksātnespējas proces</w:t>
      </w:r>
      <w:r w:rsidR="001F1AC7" w:rsidRPr="00DF252D">
        <w:rPr>
          <w:lang w:eastAsia="en-US"/>
        </w:rPr>
        <w:t>a</w:t>
      </w:r>
      <w:r w:rsidR="000F0CAD" w:rsidRPr="00DF252D">
        <w:rPr>
          <w:lang w:eastAsia="en-US"/>
        </w:rPr>
        <w:t xml:space="preserve"> efektīvu un likumīgu norisi un normatīvo aktu pārkāpumu prevenciju.</w:t>
      </w:r>
    </w:p>
    <w:p w14:paraId="7D309AF4" w14:textId="7E78DEDE" w:rsidR="000F0CAD" w:rsidRPr="00DF252D" w:rsidRDefault="001F1AC7" w:rsidP="00BF7FCC">
      <w:pPr>
        <w:widowControl/>
        <w:spacing w:after="0" w:line="240" w:lineRule="auto"/>
        <w:ind w:firstLine="709"/>
        <w:jc w:val="both"/>
        <w:rPr>
          <w:rFonts w:eastAsia="Times New Roman"/>
        </w:rPr>
      </w:pPr>
      <w:r w:rsidRPr="00DF252D">
        <w:rPr>
          <w:lang w:eastAsia="en-US"/>
        </w:rPr>
        <w:t>[5.1]</w:t>
      </w:r>
      <w:r w:rsidR="00EB7E51" w:rsidRPr="00DF252D">
        <w:rPr>
          <w:lang w:eastAsia="en-US"/>
        </w:rPr>
        <w:t> </w:t>
      </w:r>
      <w:r w:rsidRPr="00DF252D">
        <w:rPr>
          <w:lang w:eastAsia="en-US"/>
        </w:rPr>
        <w:t>Attie</w:t>
      </w:r>
      <w:r w:rsidR="00350C5F" w:rsidRPr="00DF252D">
        <w:rPr>
          <w:lang w:eastAsia="en-US"/>
        </w:rPr>
        <w:t xml:space="preserve">cībā uz Administratora rīcību, </w:t>
      </w:r>
      <w:r w:rsidR="005F6B98" w:rsidRPr="00DF252D">
        <w:rPr>
          <w:rFonts w:eastAsia="Times New Roman"/>
        </w:rPr>
        <w:t>savlaicīgi neiegūstot informāciju par uzsāktajām izpildu lietām</w:t>
      </w:r>
      <w:r w:rsidR="00350C5F" w:rsidRPr="00DF252D">
        <w:rPr>
          <w:rFonts w:eastAsia="Times New Roman"/>
        </w:rPr>
        <w:t xml:space="preserve"> un</w:t>
      </w:r>
      <w:r w:rsidR="005F6B98" w:rsidRPr="00DF252D">
        <w:rPr>
          <w:rFonts w:eastAsia="Times New Roman"/>
        </w:rPr>
        <w:t xml:space="preserve"> neiesniedzot tiesu izpildītājam pieteikumu par izpildu lietvedības izbeigšanu</w:t>
      </w:r>
      <w:r w:rsidR="00350C5F" w:rsidRPr="00DF252D">
        <w:rPr>
          <w:rFonts w:eastAsia="Times New Roman"/>
        </w:rPr>
        <w:t>, norādāms turpmākais.</w:t>
      </w:r>
    </w:p>
    <w:p w14:paraId="45B710D7" w14:textId="77777777" w:rsidR="005F6B98" w:rsidRPr="00DF252D" w:rsidRDefault="005F6B98" w:rsidP="005F6B98">
      <w:pPr>
        <w:widowControl/>
        <w:spacing w:after="0" w:line="240" w:lineRule="auto"/>
        <w:ind w:firstLine="720"/>
        <w:jc w:val="both"/>
        <w:rPr>
          <w:rFonts w:eastAsia="Times New Roman"/>
        </w:rPr>
      </w:pPr>
      <w:r w:rsidRPr="00DF252D">
        <w:rPr>
          <w:rFonts w:eastAsia="Times New Roman"/>
        </w:rPr>
        <w:t>Maksātnespējas likuma 65. panta 12. punkts nosaka, ka pēc juridiskās personas maksātnespējas procesa pasludināšanas administrators iesniedz tiesu izpildītājam pieteikumu par izpildu lietvedības izbeigšanu lietās par piespriesto, bet no parādnieka nepiedzīto summu piedziņu un lietās par saistību izpildīšanu tiesas ceļā.</w:t>
      </w:r>
    </w:p>
    <w:p w14:paraId="1B0DF2E2" w14:textId="7E0AEE12" w:rsidR="005F6B98" w:rsidRPr="00DF252D" w:rsidRDefault="005F6B98" w:rsidP="005F6B98">
      <w:pPr>
        <w:widowControl/>
        <w:spacing w:after="0" w:line="240" w:lineRule="auto"/>
        <w:ind w:firstLine="720"/>
        <w:jc w:val="both"/>
        <w:rPr>
          <w:rFonts w:eastAsia="Times New Roman"/>
        </w:rPr>
      </w:pPr>
      <w:r w:rsidRPr="00DF252D">
        <w:t xml:space="preserve">Ievērojot minēto, Maksātnespējas kontroles dienests Pieprasījumā Nr. 1 lūdza sniegt </w:t>
      </w:r>
      <w:r w:rsidRPr="00DF252D">
        <w:rPr>
          <w:iCs/>
        </w:rPr>
        <w:t>informāciju, kāpēc iesniegums par izpildu lietvedību izbeigšanu tiesu izpildītājiem nosūtīts 2024. gada 12. septembrī</w:t>
      </w:r>
      <w:r w:rsidRPr="00DF252D">
        <w:rPr>
          <w:rStyle w:val="Vresatsauce"/>
          <w:iCs/>
        </w:rPr>
        <w:footnoteReference w:id="8"/>
      </w:r>
      <w:r w:rsidRPr="00DF252D">
        <w:rPr>
          <w:iCs/>
        </w:rPr>
        <w:t>, tas ir</w:t>
      </w:r>
      <w:r w:rsidR="00FF041D" w:rsidRPr="00DF252D">
        <w:rPr>
          <w:iCs/>
        </w:rPr>
        <w:t xml:space="preserve">, vairāk kā septiņus mēnešus pēc </w:t>
      </w:r>
      <w:r w:rsidR="00FC053D" w:rsidRPr="00DF252D">
        <w:rPr>
          <w:iCs/>
        </w:rPr>
        <w:t>Parādnieka maksātnespējas procesa pasludināšanas</w:t>
      </w:r>
      <w:r w:rsidR="001F3E5E" w:rsidRPr="00DF252D">
        <w:rPr>
          <w:iCs/>
        </w:rPr>
        <w:t>.</w:t>
      </w:r>
    </w:p>
    <w:p w14:paraId="7B42192B" w14:textId="3AD7B33E" w:rsidR="005F6B98" w:rsidRPr="00DF252D" w:rsidRDefault="00CC0591" w:rsidP="00516856">
      <w:pPr>
        <w:widowControl/>
        <w:spacing w:after="0" w:line="240" w:lineRule="auto"/>
        <w:ind w:firstLine="720"/>
        <w:jc w:val="both"/>
        <w:rPr>
          <w:rFonts w:eastAsia="Times New Roman"/>
        </w:rPr>
      </w:pPr>
      <w:r w:rsidRPr="00DF252D">
        <w:t>Administratora 2025. gada 4.</w:t>
      </w:r>
      <w:r w:rsidR="00EB7E51" w:rsidRPr="00DF252D">
        <w:t> </w:t>
      </w:r>
      <w:r w:rsidRPr="00DF252D">
        <w:t>novembra p</w:t>
      </w:r>
      <w:r w:rsidR="005F6B98" w:rsidRPr="00DF252D">
        <w:t xml:space="preserve">askaidrojumos norādīts, ka 2025. gada 2. septembrī Administrators saņēma dokumentu no tiesu izpildītājas </w:t>
      </w:r>
      <w:r w:rsidR="009C353D" w:rsidRPr="00DF252D">
        <w:t>/pers. A/</w:t>
      </w:r>
      <w:r w:rsidR="005F6B98" w:rsidRPr="00DF252D">
        <w:rPr>
          <w:rStyle w:val="Vresatsauce"/>
        </w:rPr>
        <w:footnoteReference w:id="9"/>
      </w:r>
      <w:r w:rsidR="005F6B98" w:rsidRPr="00DF252D">
        <w:t xml:space="preserve">. Saņemot minēto </w:t>
      </w:r>
      <w:r w:rsidR="005F6B98" w:rsidRPr="00DF252D">
        <w:lastRenderedPageBreak/>
        <w:t>informāciju, Administrators konstatētāja, ka izpildu lietvedības pret Parādnieku nav izbeigtas, līdz ar to 2024</w:t>
      </w:r>
      <w:r w:rsidR="00CC2F7C" w:rsidRPr="00DF252D">
        <w:t>. </w:t>
      </w:r>
      <w:r w:rsidR="005F6B98" w:rsidRPr="00DF252D">
        <w:t>gada 12. septembrī nosūtīja iesniegum</w:t>
      </w:r>
      <w:r w:rsidR="00CC2F7C" w:rsidRPr="00DF252D">
        <w:t>u</w:t>
      </w:r>
      <w:r w:rsidR="005F6B98" w:rsidRPr="00DF252D">
        <w:t xml:space="preserve"> par izpildu lietvedību izbeigšanu tiesu izpildītājiem.</w:t>
      </w:r>
      <w:r w:rsidR="00516856" w:rsidRPr="00DF252D">
        <w:rPr>
          <w:rFonts w:eastAsia="Times New Roman"/>
        </w:rPr>
        <w:t xml:space="preserve"> 2025. gada 22. oktobrī</w:t>
      </w:r>
      <w:r w:rsidR="005F6B98" w:rsidRPr="00DF252D">
        <w:t xml:space="preserve"> nosūtīts papildu iesniegums</w:t>
      </w:r>
      <w:r w:rsidR="00516856" w:rsidRPr="00DF252D">
        <w:rPr>
          <w:rStyle w:val="Vresatsauce"/>
        </w:rPr>
        <w:footnoteReference w:id="10"/>
      </w:r>
      <w:r w:rsidR="005F6B98" w:rsidRPr="00DF252D">
        <w:t xml:space="preserve"> par izpildu lietvedību izbeigšanu tiesu izpildītājiem, jo dažas lietas vēl atrodas piedziņās procesā. Kā paskaidroja tiesu izpildītāji, minētās lietas nevar izbeigt, jo tajās ir galvotājs.</w:t>
      </w:r>
    </w:p>
    <w:p w14:paraId="31CC8327" w14:textId="056267DF" w:rsidR="005F6B98" w:rsidRPr="00DF252D" w:rsidRDefault="005F6B98" w:rsidP="005F6B98">
      <w:pPr>
        <w:pStyle w:val="Sarakstarindkopa"/>
        <w:tabs>
          <w:tab w:val="left" w:pos="284"/>
          <w:tab w:val="left" w:pos="851"/>
        </w:tabs>
        <w:spacing w:after="0" w:line="240" w:lineRule="auto"/>
        <w:ind w:left="0" w:firstLine="720"/>
        <w:jc w:val="both"/>
      </w:pPr>
      <w:r w:rsidRPr="00DF252D">
        <w:t>Papildus Administrators paskaidro, ka Parādnieka maksātnespējas process uzsākts, vienlaicīgi izbeidzot Parādnieka tiesisk</w:t>
      </w:r>
      <w:r w:rsidR="0004265C" w:rsidRPr="00DF252D">
        <w:t>ās</w:t>
      </w:r>
      <w:r w:rsidRPr="00DF252D">
        <w:t xml:space="preserve"> aizsardzības procesu. Izpildu lietvedības pret Parādnieku bija apturētas.</w:t>
      </w:r>
    </w:p>
    <w:p w14:paraId="0DD05034" w14:textId="3C2A7C8C" w:rsidR="005F6B98" w:rsidRPr="00DF252D" w:rsidRDefault="005F6B98" w:rsidP="005F6B98">
      <w:pPr>
        <w:spacing w:after="0" w:line="240" w:lineRule="auto"/>
        <w:ind w:firstLine="720"/>
        <w:jc w:val="both"/>
        <w:rPr>
          <w:rFonts w:eastAsia="Times New Roman"/>
        </w:rPr>
      </w:pPr>
      <w:r w:rsidRPr="00DF252D">
        <w:rPr>
          <w:rFonts w:eastAsia="Times New Roman"/>
        </w:rPr>
        <w:t xml:space="preserve">Vēršama uzmanība, ka gadījumā, ja administrators savlaicīgi nelūdz </w:t>
      </w:r>
      <w:r w:rsidR="00F9649A" w:rsidRPr="00DF252D">
        <w:rPr>
          <w:rFonts w:eastAsia="Times New Roman"/>
        </w:rPr>
        <w:t>tiesu izpildītājiem</w:t>
      </w:r>
      <w:r w:rsidRPr="00DF252D">
        <w:rPr>
          <w:rFonts w:eastAsia="Times New Roman"/>
        </w:rPr>
        <w:t xml:space="preserve"> izbeigt izpildu lietvedību, var rasties situācija, ka</w:t>
      </w:r>
      <w:r w:rsidR="00F9649A" w:rsidRPr="00DF252D">
        <w:rPr>
          <w:rFonts w:eastAsia="Times New Roman"/>
        </w:rPr>
        <w:t xml:space="preserve"> tiesu izpildītājs </w:t>
      </w:r>
      <w:r w:rsidRPr="00DF252D">
        <w:rPr>
          <w:rFonts w:eastAsia="Times New Roman"/>
        </w:rPr>
        <w:t>vērš piedziņu arī uz tiem naudas līdzekļiem, kas ieskaitīti administratora atvērtajā norēķinu kontā.</w:t>
      </w:r>
    </w:p>
    <w:p w14:paraId="24FC7728" w14:textId="4CF1F821" w:rsidR="005121B5" w:rsidRPr="00DF252D" w:rsidRDefault="005F6B98" w:rsidP="005F6B98">
      <w:pPr>
        <w:spacing w:after="0" w:line="240" w:lineRule="auto"/>
        <w:ind w:firstLine="720"/>
        <w:jc w:val="both"/>
        <w:rPr>
          <w:rFonts w:eastAsia="Times New Roman"/>
        </w:rPr>
      </w:pPr>
      <w:r w:rsidRPr="00DF252D">
        <w:rPr>
          <w:rFonts w:eastAsia="Times New Roman"/>
        </w:rPr>
        <w:t xml:space="preserve">Ievērojot minēto, aicinām </w:t>
      </w:r>
      <w:r w:rsidR="00E465CB" w:rsidRPr="00DF252D">
        <w:rPr>
          <w:rFonts w:eastAsia="Times New Roman"/>
        </w:rPr>
        <w:t xml:space="preserve">Administratoru </w:t>
      </w:r>
      <w:r w:rsidRPr="00DF252D">
        <w:rPr>
          <w:rFonts w:eastAsia="Times New Roman"/>
        </w:rPr>
        <w:t>citos lietvedībā esošajos maksātnespējas procesos turpmāk savlaicīgi pārliecināties par izpildu lietu esamību un iesniegt pieteikumu par izpildu lietvedību izbeigšanu.</w:t>
      </w:r>
    </w:p>
    <w:p w14:paraId="16BED16D" w14:textId="2E04D791" w:rsidR="005F0C10" w:rsidRPr="00DF252D" w:rsidRDefault="005F0C10" w:rsidP="005F0C10">
      <w:pPr>
        <w:widowControl/>
        <w:spacing w:after="0" w:line="240" w:lineRule="auto"/>
        <w:ind w:firstLine="709"/>
        <w:jc w:val="both"/>
      </w:pPr>
      <w:r w:rsidRPr="00DF252D">
        <w:rPr>
          <w:rFonts w:eastAsia="Times New Roman"/>
        </w:rPr>
        <w:t>[</w:t>
      </w:r>
      <w:r w:rsidR="003B1947" w:rsidRPr="00DF252D">
        <w:rPr>
          <w:rFonts w:eastAsia="Times New Roman"/>
        </w:rPr>
        <w:t>5.2</w:t>
      </w:r>
      <w:r w:rsidRPr="00DF252D">
        <w:rPr>
          <w:rFonts w:eastAsia="Times New Roman"/>
        </w:rPr>
        <w:t>]</w:t>
      </w:r>
      <w:r w:rsidR="00EB7E51" w:rsidRPr="00DF252D">
        <w:rPr>
          <w:rFonts w:eastAsia="Times New Roman"/>
        </w:rPr>
        <w:t> </w:t>
      </w:r>
      <w:r w:rsidRPr="00DF252D">
        <w:t xml:space="preserve">Vienlaikus Maksātnespējas kontroles dienests vērš uzmanību uz Administratora </w:t>
      </w:r>
      <w:r w:rsidR="00D575D4" w:rsidRPr="00DF252D">
        <w:t>rīcību,</w:t>
      </w:r>
      <w:r w:rsidRPr="00DF252D">
        <w:t xml:space="preserve"> izmanto</w:t>
      </w:r>
      <w:r w:rsidR="00D575D4" w:rsidRPr="00DF252D">
        <w:t>j</w:t>
      </w:r>
      <w:r w:rsidR="00EB7E51" w:rsidRPr="00DF252D">
        <w:t>ot vienu</w:t>
      </w:r>
      <w:r w:rsidRPr="00DF252D">
        <w:t xml:space="preserve"> norēķinu kontu vairāku maksātnespējas procesu administrēšanai.</w:t>
      </w:r>
    </w:p>
    <w:p w14:paraId="06FC4037" w14:textId="2CD41428" w:rsidR="000504EF" w:rsidRPr="00DF252D" w:rsidRDefault="00BC6B62" w:rsidP="005F0C10">
      <w:pPr>
        <w:widowControl/>
        <w:spacing w:after="0" w:line="240" w:lineRule="auto"/>
        <w:ind w:firstLine="709"/>
        <w:jc w:val="both"/>
      </w:pPr>
      <w:r w:rsidRPr="00DF252D">
        <w:t xml:space="preserve">No Administratora Paskaidrojumiem izriet, ka </w:t>
      </w:r>
      <w:r w:rsidR="00B525B2" w:rsidRPr="00DF252D">
        <w:t>Administrators izmanto vienu ko</w:t>
      </w:r>
      <w:r w:rsidR="00D0796A" w:rsidRPr="00DF252D">
        <w:t>ntu gan fizisko, gan juridisko personu maksātnespējas procesos, gadījumos, kad kredītiest</w:t>
      </w:r>
      <w:r w:rsidR="00FD19EE" w:rsidRPr="00DF252D">
        <w:t>āde atsakās juridisko personu maksātnespējas procesā atvērt norēķinu kontu.</w:t>
      </w:r>
    </w:p>
    <w:p w14:paraId="3174FB65" w14:textId="112F1FA7" w:rsidR="005F0C10" w:rsidRPr="00DF252D" w:rsidRDefault="005F0C10" w:rsidP="005F0C10">
      <w:pPr>
        <w:widowControl/>
        <w:spacing w:after="0" w:line="240" w:lineRule="auto"/>
        <w:ind w:firstLine="709"/>
        <w:jc w:val="both"/>
        <w:rPr>
          <w:rFonts w:eastAsia="Times New Roman"/>
          <w:iCs/>
        </w:rPr>
      </w:pPr>
      <w:r w:rsidRPr="00DF252D">
        <w:rPr>
          <w:rFonts w:eastAsia="Times New Roman"/>
          <w:iCs/>
        </w:rPr>
        <w:t xml:space="preserve">Saskaņā ar Maksātnespējas likuma 137. panta 1. punktu administrators </w:t>
      </w:r>
      <w:r w:rsidR="00C01FA5" w:rsidRPr="00DF252D">
        <w:rPr>
          <w:rFonts w:eastAsia="Times New Roman"/>
          <w:iCs/>
        </w:rPr>
        <w:t xml:space="preserve">fizisko personu maksātnespējas procesos </w:t>
      </w:r>
      <w:r w:rsidRPr="00DF252D">
        <w:rPr>
          <w:rFonts w:eastAsia="Times New Roman"/>
          <w:iCs/>
        </w:rPr>
        <w:t xml:space="preserve">atver uz sava vārda kontu kredītiestādē kreditoru prasījumu apmierināšanai bankrota procedūras ietvaros, ja administratoram tiek nodoti naudas līdzekļi saskaņā ar šā likuma 139. panta 2. punktu vai parādnieka maksātnespējas procesa ietvaros ir paredzēta mantas pārdošana. </w:t>
      </w:r>
    </w:p>
    <w:p w14:paraId="110A2708" w14:textId="3B9931C8" w:rsidR="005F0C10" w:rsidRPr="00DF252D" w:rsidRDefault="00A504A6" w:rsidP="005F0C10">
      <w:pPr>
        <w:widowControl/>
        <w:spacing w:after="0" w:line="240" w:lineRule="auto"/>
        <w:ind w:firstLine="709"/>
        <w:jc w:val="both"/>
        <w:rPr>
          <w:rFonts w:eastAsia="Times New Roman"/>
          <w:iCs/>
        </w:rPr>
      </w:pPr>
      <w:r w:rsidRPr="00DF252D">
        <w:rPr>
          <w:rFonts w:eastAsia="Times New Roman"/>
          <w:iCs/>
        </w:rPr>
        <w:t>G</w:t>
      </w:r>
      <w:r w:rsidR="005F0C10" w:rsidRPr="00DF252D">
        <w:rPr>
          <w:rFonts w:eastAsia="Times New Roman"/>
          <w:iCs/>
        </w:rPr>
        <w:t>ramatiski un sistemātiski tulkojot Maksātnespējas likuma 139. panta 1. punktu, administratoram katras fiziskās personas maksātnespējas procesā jāatver atsevišķs konkrētam procesam paredzēts norēķinu konts. Tikai tādā veidā administrators var nodrošināt procesā veikto darījumu un kontā esošo naudas līdzekļu plūsmas caurskatāmību un atklātību.</w:t>
      </w:r>
      <w:r w:rsidR="008D7523" w:rsidRPr="00DF252D">
        <w:rPr>
          <w:rFonts w:eastAsia="Times New Roman"/>
          <w:iCs/>
        </w:rPr>
        <w:t xml:space="preserve"> Līdz ar to gadījumā, ja </w:t>
      </w:r>
      <w:r w:rsidR="00806386" w:rsidRPr="00DF252D">
        <w:rPr>
          <w:rFonts w:eastAsia="Times New Roman"/>
          <w:iCs/>
        </w:rPr>
        <w:t>kredītiestāde atsakās atvērt norēķinu kontu uz Parādnieka vārda un administrators kā risinājumu ir izvēlējies atvērt norēķinu kontu uz sava vārda</w:t>
      </w:r>
      <w:r w:rsidR="000931D6" w:rsidRPr="00DF252D">
        <w:rPr>
          <w:rFonts w:eastAsia="Times New Roman"/>
          <w:iCs/>
        </w:rPr>
        <w:t>,</w:t>
      </w:r>
      <w:r w:rsidR="00806386" w:rsidRPr="00DF252D">
        <w:rPr>
          <w:rFonts w:eastAsia="Times New Roman"/>
          <w:iCs/>
        </w:rPr>
        <w:t xml:space="preserve"> arī šādā gadījumā</w:t>
      </w:r>
      <w:r w:rsidR="000931D6" w:rsidRPr="00DF252D">
        <w:rPr>
          <w:rFonts w:eastAsia="Times New Roman"/>
          <w:iCs/>
        </w:rPr>
        <w:t xml:space="preserve"> minētais konts jāizmanto tikai konkrētā maksātnespējas procesa </w:t>
      </w:r>
      <w:r w:rsidR="00C760A3" w:rsidRPr="00DF252D">
        <w:rPr>
          <w:rFonts w:eastAsia="Times New Roman"/>
          <w:iCs/>
        </w:rPr>
        <w:t>administrēšanai</w:t>
      </w:r>
      <w:r w:rsidR="000931D6" w:rsidRPr="00DF252D">
        <w:rPr>
          <w:rFonts w:eastAsia="Times New Roman"/>
          <w:iCs/>
        </w:rPr>
        <w:t>.</w:t>
      </w:r>
    </w:p>
    <w:p w14:paraId="30E26C70" w14:textId="009C2337" w:rsidR="00674738" w:rsidRPr="00DF252D" w:rsidRDefault="00C760A3" w:rsidP="00E465CB">
      <w:pPr>
        <w:spacing w:after="0" w:line="240" w:lineRule="auto"/>
        <w:ind w:firstLine="720"/>
        <w:jc w:val="both"/>
        <w:rPr>
          <w:rFonts w:eastAsia="Times New Roman"/>
        </w:rPr>
      </w:pPr>
      <w:r w:rsidRPr="00DF252D">
        <w:rPr>
          <w:rFonts w:eastAsia="Times New Roman"/>
        </w:rPr>
        <w:t xml:space="preserve">Ievērojot minēto, aicinām </w:t>
      </w:r>
      <w:r w:rsidR="00E465CB" w:rsidRPr="00DF252D">
        <w:rPr>
          <w:rFonts w:eastAsia="Times New Roman"/>
        </w:rPr>
        <w:t>Administratoru</w:t>
      </w:r>
      <w:r w:rsidR="00674738" w:rsidRPr="00DF252D">
        <w:rPr>
          <w:rFonts w:eastAsia="Times New Roman"/>
        </w:rPr>
        <w:t xml:space="preserve"> turpmāk ne</w:t>
      </w:r>
      <w:r w:rsidR="00E465CB" w:rsidRPr="00DF252D">
        <w:rPr>
          <w:rFonts w:eastAsia="Times New Roman"/>
        </w:rPr>
        <w:t>izmantot vienu norēķinu kontu vairāku maksātnespējas procesu administrēšan</w:t>
      </w:r>
      <w:r w:rsidR="00787ECA" w:rsidRPr="00DF252D">
        <w:rPr>
          <w:rFonts w:eastAsia="Times New Roman"/>
        </w:rPr>
        <w:t>ā</w:t>
      </w:r>
      <w:r w:rsidR="00E465CB" w:rsidRPr="00DF252D">
        <w:rPr>
          <w:rFonts w:eastAsia="Times New Roman"/>
        </w:rPr>
        <w:t>.</w:t>
      </w:r>
    </w:p>
    <w:p w14:paraId="090175FD" w14:textId="671E1F21" w:rsidR="00D17358" w:rsidRPr="00DF252D" w:rsidRDefault="00B63707" w:rsidP="006A0483">
      <w:pPr>
        <w:widowControl/>
        <w:spacing w:after="0" w:line="240" w:lineRule="auto"/>
        <w:ind w:firstLine="720"/>
        <w:jc w:val="both"/>
      </w:pPr>
      <w:r w:rsidRPr="00DF252D">
        <w:t>[</w:t>
      </w:r>
      <w:r w:rsidR="00922F4F" w:rsidRPr="00DF252D">
        <w:t>6</w:t>
      </w:r>
      <w:r w:rsidRPr="00DF252D">
        <w:t>] </w:t>
      </w:r>
      <w:r w:rsidR="00D17358" w:rsidRPr="00DF252D">
        <w:t>Ņemot vērā iepriekš minēto un pamatojoties uz norādītajām tiesību normām, kā arī Maksātnespējas likuma 173. panta pirmo daļu un 174.</w:t>
      </w:r>
      <w:r w:rsidR="00D17358" w:rsidRPr="00DF252D">
        <w:rPr>
          <w:vertAlign w:val="superscript"/>
        </w:rPr>
        <w:t>1</w:t>
      </w:r>
      <w:r w:rsidR="00D17358" w:rsidRPr="00DF252D">
        <w:t> panta 1.  punktu, 174.</w:t>
      </w:r>
      <w:r w:rsidR="00D17358" w:rsidRPr="00DF252D">
        <w:rPr>
          <w:vertAlign w:val="superscript"/>
        </w:rPr>
        <w:t>2</w:t>
      </w:r>
      <w:r w:rsidR="00D17358" w:rsidRPr="00DF252D">
        <w:t xml:space="preserve"> panta pirmās daļas 7. punktu, 175. panta pirmās daļas 2. punktu, </w:t>
      </w:r>
    </w:p>
    <w:p w14:paraId="18181134" w14:textId="77777777" w:rsidR="00D17358" w:rsidRPr="00DF252D" w:rsidRDefault="00D17358" w:rsidP="006A0483">
      <w:pPr>
        <w:widowControl/>
        <w:spacing w:after="0" w:line="240" w:lineRule="auto"/>
        <w:jc w:val="both"/>
        <w:rPr>
          <w:lang w:eastAsia="en-US"/>
        </w:rPr>
      </w:pPr>
    </w:p>
    <w:p w14:paraId="6E58A465" w14:textId="77777777" w:rsidR="00D17358" w:rsidRPr="00DF252D" w:rsidRDefault="00D17358" w:rsidP="006A0483">
      <w:pPr>
        <w:autoSpaceDE w:val="0"/>
        <w:autoSpaceDN w:val="0"/>
        <w:adjustRightInd w:val="0"/>
        <w:spacing w:after="0" w:line="240" w:lineRule="auto"/>
        <w:jc w:val="center"/>
        <w:rPr>
          <w:rFonts w:eastAsia="Times New Roman"/>
          <w:b/>
          <w:iCs/>
        </w:rPr>
      </w:pPr>
      <w:r w:rsidRPr="00DF252D">
        <w:rPr>
          <w:rFonts w:eastAsia="Times New Roman"/>
          <w:b/>
          <w:iCs/>
        </w:rPr>
        <w:t xml:space="preserve">nolēmu: </w:t>
      </w:r>
    </w:p>
    <w:p w14:paraId="59A7B2D9" w14:textId="77777777" w:rsidR="00D17358" w:rsidRPr="00DF252D" w:rsidRDefault="00D17358" w:rsidP="006A0483">
      <w:pPr>
        <w:autoSpaceDE w:val="0"/>
        <w:autoSpaceDN w:val="0"/>
        <w:adjustRightInd w:val="0"/>
        <w:spacing w:after="0" w:line="240" w:lineRule="auto"/>
        <w:ind w:firstLine="539"/>
        <w:jc w:val="center"/>
        <w:rPr>
          <w:rFonts w:eastAsia="Times New Roman"/>
          <w:b/>
          <w:iCs/>
        </w:rPr>
      </w:pPr>
    </w:p>
    <w:p w14:paraId="3155A4EF" w14:textId="4E9BA64B" w:rsidR="00D17358" w:rsidRPr="00DF252D" w:rsidRDefault="00D17358" w:rsidP="006A0483">
      <w:pPr>
        <w:tabs>
          <w:tab w:val="left" w:pos="993"/>
        </w:tabs>
        <w:spacing w:after="0" w:line="240" w:lineRule="auto"/>
        <w:ind w:firstLine="720"/>
        <w:jc w:val="both"/>
      </w:pPr>
      <w:r w:rsidRPr="00DF252D">
        <w:t xml:space="preserve">Atzīt, ka administrators </w:t>
      </w:r>
      <w:r w:rsidR="00163D9D" w:rsidRPr="00DF252D">
        <w:t>/Administrators/</w:t>
      </w:r>
      <w:r w:rsidRPr="00DF252D">
        <w:t xml:space="preserve">, amata apliecības </w:t>
      </w:r>
      <w:r w:rsidR="00163D9D" w:rsidRPr="00DF252D">
        <w:t>numurs/</w:t>
      </w:r>
      <w:r w:rsidRPr="00DF252D">
        <w:t xml:space="preserve">, </w:t>
      </w:r>
      <w:r w:rsidR="00163D9D" w:rsidRPr="00DF252D">
        <w:t>/</w:t>
      </w:r>
      <w:r w:rsidR="00DE22D2" w:rsidRPr="00DF252D">
        <w:rPr>
          <w:rFonts w:eastAsia="Times New Roman"/>
        </w:rPr>
        <w:t>SIA "</w:t>
      </w:r>
      <w:r w:rsidR="00163D9D" w:rsidRPr="00DF252D">
        <w:rPr>
          <w:rFonts w:eastAsia="Times New Roman"/>
        </w:rPr>
        <w:t>Nosaukums A</w:t>
      </w:r>
      <w:r w:rsidR="00DE22D2" w:rsidRPr="00DF252D">
        <w:rPr>
          <w:rFonts w:eastAsia="Times New Roman"/>
        </w:rPr>
        <w:t>"</w:t>
      </w:r>
      <w:r w:rsidR="00163D9D" w:rsidRPr="00DF252D">
        <w:rPr>
          <w:rFonts w:eastAsia="Times New Roman"/>
        </w:rPr>
        <w:t>/</w:t>
      </w:r>
      <w:r w:rsidR="00DE22D2" w:rsidRPr="00DF252D">
        <w:rPr>
          <w:rFonts w:eastAsia="Times New Roman"/>
        </w:rPr>
        <w:t xml:space="preserve">, </w:t>
      </w:r>
      <w:r w:rsidR="00163D9D" w:rsidRPr="00DF252D">
        <w:rPr>
          <w:rFonts w:eastAsia="Times New Roman"/>
        </w:rPr>
        <w:t>/</w:t>
      </w:r>
      <w:r w:rsidR="00DE22D2" w:rsidRPr="00DF252D">
        <w:rPr>
          <w:rFonts w:eastAsia="Times New Roman"/>
        </w:rPr>
        <w:t xml:space="preserve">reģistrācijas </w:t>
      </w:r>
      <w:r w:rsidR="00163D9D" w:rsidRPr="00DF252D">
        <w:rPr>
          <w:rFonts w:eastAsia="Times New Roman"/>
        </w:rPr>
        <w:t>numurs</w:t>
      </w:r>
      <w:r w:rsidR="00163D9D" w:rsidRPr="00DF252D">
        <w:t>/</w:t>
      </w:r>
      <w:r w:rsidR="007D4DAD" w:rsidRPr="00DF252D">
        <w:rPr>
          <w:rFonts w:eastAsia="Times New Roman"/>
        </w:rPr>
        <w:t>,</w:t>
      </w:r>
      <w:r w:rsidRPr="00DF252D">
        <w:rPr>
          <w:rFonts w:eastAsia="Times New Roman"/>
        </w:rPr>
        <w:t xml:space="preserve"> </w:t>
      </w:r>
      <w:r w:rsidRPr="00DF252D">
        <w:t>maksātnespējas procesā</w:t>
      </w:r>
      <w:r w:rsidR="00D45286" w:rsidRPr="00DF252D">
        <w:t>:</w:t>
      </w:r>
    </w:p>
    <w:p w14:paraId="381B7632" w14:textId="2270D1D4" w:rsidR="005E61BB" w:rsidRPr="00DF252D" w:rsidRDefault="005E61BB" w:rsidP="005E61BB">
      <w:pPr>
        <w:pStyle w:val="Sarakstarindkopa"/>
        <w:widowControl/>
        <w:numPr>
          <w:ilvl w:val="0"/>
          <w:numId w:val="34"/>
        </w:numPr>
        <w:spacing w:after="0" w:line="240" w:lineRule="auto"/>
        <w:jc w:val="both"/>
      </w:pPr>
      <w:r w:rsidRPr="00DF252D">
        <w:rPr>
          <w:rFonts w:eastAsia="Times New Roman"/>
        </w:rPr>
        <w:t xml:space="preserve">izmantojot personīgos norēķinu kontus, par ko nav sniegta informācija kreditoriem un Maksātnespējas kontroles dienestam, </w:t>
      </w:r>
      <w:r w:rsidRPr="00DF252D">
        <w:t xml:space="preserve">nav ievērojis </w:t>
      </w:r>
      <w:r w:rsidRPr="00DF252D">
        <w:rPr>
          <w:rFonts w:eastAsia="Times New Roman"/>
        </w:rPr>
        <w:t xml:space="preserve">Maksātnespējas </w:t>
      </w:r>
      <w:r w:rsidRPr="00DF252D">
        <w:t xml:space="preserve">likuma 6. panta 7. punkta, 81. panta otrās daļu kopsakarā ar </w:t>
      </w:r>
      <w:r w:rsidRPr="00DF252D">
        <w:rPr>
          <w:rFonts w:eastAsia="Times New Roman"/>
        </w:rPr>
        <w:t>95. panta ceturtās daļas prasībām;</w:t>
      </w:r>
    </w:p>
    <w:p w14:paraId="7CA520FD" w14:textId="17857D1E" w:rsidR="005030B7" w:rsidRPr="00DF252D" w:rsidRDefault="005030B7" w:rsidP="00ED51D5">
      <w:pPr>
        <w:pStyle w:val="Sarakstarindkopa"/>
        <w:widowControl/>
        <w:numPr>
          <w:ilvl w:val="0"/>
          <w:numId w:val="34"/>
        </w:numPr>
        <w:spacing w:after="0" w:line="240" w:lineRule="auto"/>
        <w:jc w:val="both"/>
      </w:pPr>
      <w:r w:rsidRPr="00DF252D">
        <w:rPr>
          <w:color w:val="000000" w:themeColor="text1"/>
        </w:rPr>
        <w:t>nenosūtot paziņojumu par Parādnieka maksātnespējas procesu Parādnieka kreditoriem, kuri atrodas citās Eiropas Savienības dalībvalstīs, nav ievēroj</w:t>
      </w:r>
      <w:r w:rsidR="001E1835" w:rsidRPr="00DF252D">
        <w:rPr>
          <w:color w:val="000000" w:themeColor="text1"/>
        </w:rPr>
        <w:t>is</w:t>
      </w:r>
      <w:r w:rsidRPr="00DF252D">
        <w:rPr>
          <w:color w:val="000000" w:themeColor="text1"/>
        </w:rPr>
        <w:t xml:space="preserve"> Regulas </w:t>
      </w:r>
      <w:r w:rsidRPr="00DF252D">
        <w:t>54. panta 1. punkta un Maksātnespējas likuma 26. panta otrās daļas noteikumus, kā arī pārkāp</w:t>
      </w:r>
      <w:r w:rsidR="001E1835" w:rsidRPr="00DF252D">
        <w:t xml:space="preserve">is </w:t>
      </w:r>
      <w:r w:rsidRPr="00DF252D">
        <w:t>Maksātnespējas likuma 6. panta 2. punktā nostiprināto kreditoru vienlīdzības principu.</w:t>
      </w:r>
    </w:p>
    <w:p w14:paraId="2E7DF1BA" w14:textId="77777777" w:rsidR="00434B6A" w:rsidRPr="00DF252D" w:rsidRDefault="00434B6A" w:rsidP="00B26F18">
      <w:pPr>
        <w:widowControl/>
        <w:spacing w:after="0" w:line="240" w:lineRule="auto"/>
        <w:jc w:val="both"/>
      </w:pPr>
    </w:p>
    <w:p w14:paraId="3DA52D6E" w14:textId="1A8D817E" w:rsidR="00D17358" w:rsidRPr="00DF252D" w:rsidRDefault="00D17358" w:rsidP="006A0483">
      <w:pPr>
        <w:widowControl/>
        <w:spacing w:after="0" w:line="240" w:lineRule="auto"/>
        <w:ind w:firstLine="709"/>
        <w:jc w:val="both"/>
      </w:pPr>
      <w:r w:rsidRPr="00DF252D">
        <w:lastRenderedPageBreak/>
        <w:t xml:space="preserve">Lēmumu var pārsūdzēt </w:t>
      </w:r>
      <w:r w:rsidR="00FB619D" w:rsidRPr="00DF252D">
        <w:rPr>
          <w:rFonts w:eastAsia="Times New Roman"/>
        </w:rPr>
        <w:t>/tiesas nosaukums/</w:t>
      </w:r>
      <w:r w:rsidRPr="00DF252D">
        <w:t xml:space="preserve"> mēneša laikā no lēmuma saņemšanas dienas. Sūdzības iesniegšana tiesā neaptur šā lēmuma darbību. </w:t>
      </w:r>
    </w:p>
    <w:p w14:paraId="04CCAF2E" w14:textId="77777777" w:rsidR="00D17358" w:rsidRPr="00DF252D" w:rsidRDefault="00D17358" w:rsidP="006A0483">
      <w:pPr>
        <w:widowControl/>
        <w:spacing w:after="0" w:line="240" w:lineRule="auto"/>
        <w:ind w:firstLine="720"/>
        <w:jc w:val="both"/>
        <w:rPr>
          <w:rFonts w:eastAsia="Times New Roman"/>
          <w:b/>
        </w:rPr>
      </w:pPr>
    </w:p>
    <w:p w14:paraId="3B691F80" w14:textId="77777777" w:rsidR="00D17358" w:rsidRPr="00DF252D" w:rsidRDefault="00D17358" w:rsidP="006A0483">
      <w:pPr>
        <w:widowControl/>
        <w:spacing w:after="0" w:line="240" w:lineRule="auto"/>
        <w:ind w:firstLine="720"/>
        <w:jc w:val="both"/>
        <w:rPr>
          <w:rFonts w:eastAsia="Times New Roman"/>
          <w:b/>
        </w:rPr>
      </w:pPr>
    </w:p>
    <w:p w14:paraId="4AEA3649" w14:textId="1F6CFA23" w:rsidR="00D17358" w:rsidRPr="00DF252D" w:rsidRDefault="00D17358" w:rsidP="006A0483">
      <w:pPr>
        <w:widowControl/>
        <w:tabs>
          <w:tab w:val="right" w:pos="9356"/>
        </w:tabs>
        <w:spacing w:after="0" w:line="240" w:lineRule="auto"/>
        <w:ind w:right="-11"/>
        <w:jc w:val="both"/>
        <w:rPr>
          <w:rFonts w:eastAsia="Times New Roman"/>
        </w:rPr>
      </w:pPr>
      <w:r w:rsidRPr="00DF252D">
        <w:rPr>
          <w:rFonts w:eastAsia="Times New Roman"/>
        </w:rPr>
        <w:t>Direktor</w:t>
      </w:r>
      <w:r w:rsidR="00FD0BAC" w:rsidRPr="00DF252D">
        <w:rPr>
          <w:rFonts w:eastAsia="Times New Roman"/>
        </w:rPr>
        <w:t>a p. i.</w:t>
      </w:r>
      <w:r w:rsidRPr="00DF252D">
        <w:rPr>
          <w:rFonts w:eastAsia="Times New Roman"/>
        </w:rPr>
        <w:tab/>
      </w:r>
      <w:r w:rsidR="0004265C" w:rsidRPr="00DF252D">
        <w:rPr>
          <w:rFonts w:eastAsia="Times New Roman"/>
        </w:rPr>
        <w:t>Karīna Paturska</w:t>
      </w:r>
    </w:p>
    <w:p w14:paraId="16315E9F" w14:textId="77777777" w:rsidR="00D17358" w:rsidRPr="00DF252D" w:rsidRDefault="00D17358" w:rsidP="006A0483">
      <w:pPr>
        <w:widowControl/>
        <w:spacing w:after="0" w:line="240" w:lineRule="auto"/>
        <w:rPr>
          <w:rFonts w:eastAsia="Times New Roman"/>
        </w:rPr>
      </w:pPr>
    </w:p>
    <w:p w14:paraId="7F07B3E7" w14:textId="77777777" w:rsidR="00D17358" w:rsidRPr="00DF252D" w:rsidRDefault="00D17358" w:rsidP="006A0483">
      <w:pPr>
        <w:widowControl/>
        <w:spacing w:after="0" w:line="240" w:lineRule="auto"/>
        <w:rPr>
          <w:rFonts w:eastAsia="Times New Roman"/>
        </w:rPr>
      </w:pPr>
    </w:p>
    <w:p w14:paraId="05BF6B1E" w14:textId="77777777" w:rsidR="00D17358" w:rsidRPr="00DF252D" w:rsidRDefault="00D17358" w:rsidP="006A0483">
      <w:pPr>
        <w:widowControl/>
        <w:spacing w:after="0" w:line="240" w:lineRule="auto"/>
        <w:ind w:firstLine="720"/>
        <w:jc w:val="both"/>
        <w:rPr>
          <w:rFonts w:eastAsia="Times New Roman"/>
          <w:b/>
        </w:rPr>
      </w:pPr>
    </w:p>
    <w:p w14:paraId="1B7D07B6" w14:textId="77777777" w:rsidR="00D17358" w:rsidRPr="00DF252D" w:rsidRDefault="00D17358" w:rsidP="006A0483">
      <w:pPr>
        <w:widowControl/>
        <w:spacing w:after="0" w:line="240" w:lineRule="auto"/>
        <w:jc w:val="center"/>
        <w:rPr>
          <w:bCs/>
          <w:color w:val="212529"/>
          <w:shd w:val="clear" w:color="auto" w:fill="FFFFFF"/>
        </w:rPr>
      </w:pPr>
    </w:p>
    <w:p w14:paraId="4DBBFB97" w14:textId="3A581A91" w:rsidR="00E8606B" w:rsidRPr="007639ED" w:rsidRDefault="00D17358" w:rsidP="006A0483">
      <w:pPr>
        <w:widowControl/>
        <w:spacing w:after="0" w:line="240" w:lineRule="auto"/>
        <w:jc w:val="center"/>
        <w:rPr>
          <w:rFonts w:eastAsia="Times New Roman"/>
          <w:lang w:val="lt-LT"/>
        </w:rPr>
      </w:pPr>
      <w:r w:rsidRPr="00DF252D">
        <w:rPr>
          <w:lang w:val="en-US" w:eastAsia="en-US"/>
        </w:rPr>
        <w:t>DOKUMENTS IR PARAKSTĪTS AR DROŠU ELEKTRONISKO PARAKSTU</w:t>
      </w:r>
    </w:p>
    <w:sectPr w:rsidR="00E8606B" w:rsidRPr="007639ED" w:rsidSect="00F1756B">
      <w:headerReference w:type="even" r:id="rId9"/>
      <w:headerReference w:type="default" r:id="rId10"/>
      <w:footerReference w:type="even" r:id="rId11"/>
      <w:footerReference w:type="default" r:id="rId12"/>
      <w:headerReference w:type="first" r:id="rId13"/>
      <w:footerReference w:type="first" r:id="rId14"/>
      <w:type w:val="continuous"/>
      <w:pgSz w:w="11920" w:h="16840"/>
      <w:pgMar w:top="1134" w:right="851" w:bottom="1134" w:left="1701" w:header="284"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A5448" w14:textId="77777777" w:rsidR="0067758A" w:rsidRDefault="0067758A">
      <w:pPr>
        <w:spacing w:after="0" w:line="240" w:lineRule="auto"/>
      </w:pPr>
      <w:r>
        <w:separator/>
      </w:r>
    </w:p>
  </w:endnote>
  <w:endnote w:type="continuationSeparator" w:id="0">
    <w:p w14:paraId="11B73993" w14:textId="77777777" w:rsidR="0067758A" w:rsidRDefault="00677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16EA3" w14:textId="77777777" w:rsidR="006767EB" w:rsidRDefault="006767E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943571"/>
      <w:docPartObj>
        <w:docPartGallery w:val="Page Numbers (Bottom of Page)"/>
        <w:docPartUnique/>
      </w:docPartObj>
    </w:sdtPr>
    <w:sdtContent>
      <w:p w14:paraId="03D7B09B" w14:textId="5D67DCD3" w:rsidR="00776D0F" w:rsidRDefault="00776D0F">
        <w:pPr>
          <w:pStyle w:val="Kjene"/>
          <w:jc w:val="center"/>
        </w:pPr>
        <w:r>
          <w:fldChar w:fldCharType="begin"/>
        </w:r>
        <w:r>
          <w:instrText>PAGE   \* MERGEFORMAT</w:instrText>
        </w:r>
        <w:r>
          <w:fldChar w:fldCharType="separate"/>
        </w:r>
        <w:r>
          <w:t>2</w:t>
        </w:r>
        <w:r>
          <w:fldChar w:fldCharType="end"/>
        </w:r>
      </w:p>
    </w:sdtContent>
  </w:sdt>
  <w:p w14:paraId="28B39519" w14:textId="77777777" w:rsidR="00776D0F" w:rsidRDefault="00776D0F">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732CD" w14:textId="77777777" w:rsidR="006767EB" w:rsidRDefault="006767E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680B5" w14:textId="77777777" w:rsidR="0067758A" w:rsidRDefault="0067758A">
      <w:pPr>
        <w:spacing w:after="0" w:line="240" w:lineRule="auto"/>
      </w:pPr>
      <w:r>
        <w:separator/>
      </w:r>
    </w:p>
  </w:footnote>
  <w:footnote w:type="continuationSeparator" w:id="0">
    <w:p w14:paraId="6B84DBC9" w14:textId="77777777" w:rsidR="0067758A" w:rsidRDefault="0067758A">
      <w:pPr>
        <w:spacing w:after="0" w:line="240" w:lineRule="auto"/>
      </w:pPr>
      <w:r>
        <w:continuationSeparator/>
      </w:r>
    </w:p>
  </w:footnote>
  <w:footnote w:id="1">
    <w:p w14:paraId="105BDA43" w14:textId="29DE9BB8" w:rsidR="00B41AF6" w:rsidRPr="00DF252D" w:rsidRDefault="00B41AF6" w:rsidP="00B41AF6">
      <w:pPr>
        <w:pStyle w:val="Vresteksts"/>
        <w:jc w:val="both"/>
      </w:pPr>
      <w:r w:rsidRPr="00B41AF6">
        <w:rPr>
          <w:rStyle w:val="Vresatsauce"/>
        </w:rPr>
        <w:footnoteRef/>
      </w:r>
      <w:r w:rsidRPr="00B41AF6">
        <w:t xml:space="preserve"> </w:t>
      </w:r>
      <w:r w:rsidRPr="00B41AF6">
        <w:rPr>
          <w:rFonts w:eastAsia="Times New Roman"/>
        </w:rPr>
        <w:t xml:space="preserve">Piemēram, </w:t>
      </w:r>
      <w:r w:rsidRPr="00DF252D">
        <w:rPr>
          <w:rFonts w:eastAsia="Times New Roman"/>
        </w:rPr>
        <w:t xml:space="preserve">2024. gada 4. jūnija pirkuma līguma </w:t>
      </w:r>
      <w:r w:rsidR="000F2E9C" w:rsidRPr="00DF252D">
        <w:rPr>
          <w:rFonts w:eastAsia="Times New Roman"/>
        </w:rPr>
        <w:t>/numurs/</w:t>
      </w:r>
      <w:r w:rsidRPr="00DF252D">
        <w:rPr>
          <w:rFonts w:eastAsia="Times New Roman"/>
        </w:rPr>
        <w:t xml:space="preserve">, 2025. gada 13. jūnija paziņojuma </w:t>
      </w:r>
      <w:r w:rsidR="000F2E9C" w:rsidRPr="00DF252D">
        <w:rPr>
          <w:rFonts w:eastAsia="Times New Roman"/>
        </w:rPr>
        <w:t>/numurs/</w:t>
      </w:r>
      <w:r w:rsidRPr="00DF252D">
        <w:rPr>
          <w:rFonts w:eastAsia="Times New Roman"/>
        </w:rPr>
        <w:t xml:space="preserve">, 2025. gada 24. augusta paziņojuma </w:t>
      </w:r>
      <w:r w:rsidR="000F2E9C" w:rsidRPr="00DF252D">
        <w:rPr>
          <w:rFonts w:eastAsia="Times New Roman"/>
        </w:rPr>
        <w:t>/numurs/</w:t>
      </w:r>
      <w:r w:rsidRPr="00DF252D">
        <w:rPr>
          <w:rFonts w:eastAsia="Times New Roman"/>
        </w:rPr>
        <w:t xml:space="preserve">, cesijas līguma </w:t>
      </w:r>
      <w:r w:rsidR="00CA3F67" w:rsidRPr="00DF252D">
        <w:rPr>
          <w:rFonts w:eastAsia="Times New Roman"/>
        </w:rPr>
        <w:t>/numurs/</w:t>
      </w:r>
      <w:r w:rsidRPr="00DF252D">
        <w:t xml:space="preserve"> u.c.</w:t>
      </w:r>
    </w:p>
  </w:footnote>
  <w:footnote w:id="2">
    <w:p w14:paraId="281664E8" w14:textId="254C1EBE" w:rsidR="00754172" w:rsidRDefault="00754172" w:rsidP="00B41AF6">
      <w:pPr>
        <w:pStyle w:val="Vresteksts"/>
        <w:jc w:val="both"/>
      </w:pPr>
      <w:r w:rsidRPr="00DF252D">
        <w:rPr>
          <w:rStyle w:val="Vresatsauce"/>
        </w:rPr>
        <w:footnoteRef/>
      </w:r>
      <w:r w:rsidRPr="00DF252D">
        <w:t xml:space="preserve"> Maksātnespējas kontroles dien</w:t>
      </w:r>
      <w:r w:rsidR="00342CF0" w:rsidRPr="00DF252D">
        <w:t>e</w:t>
      </w:r>
      <w:r w:rsidRPr="00DF252D">
        <w:t xml:space="preserve">sta reģistrācijas </w:t>
      </w:r>
      <w:r w:rsidR="00CA3F67" w:rsidRPr="00DF252D">
        <w:t>/numurs/</w:t>
      </w:r>
      <w:r w:rsidR="00342CF0" w:rsidRPr="00DF252D">
        <w:t>.</w:t>
      </w:r>
    </w:p>
  </w:footnote>
  <w:footnote w:id="3">
    <w:p w14:paraId="6F67226A" w14:textId="52EB4327" w:rsidR="00B1464F" w:rsidRPr="00DF252D" w:rsidRDefault="00B1464F" w:rsidP="00B1464F">
      <w:pPr>
        <w:widowControl/>
        <w:spacing w:after="0" w:line="240" w:lineRule="auto"/>
        <w:jc w:val="both"/>
        <w:rPr>
          <w:rFonts w:eastAsia="Times New Roman"/>
          <w:sz w:val="20"/>
          <w:szCs w:val="20"/>
        </w:rPr>
      </w:pPr>
      <w:r>
        <w:rPr>
          <w:rStyle w:val="Vresatsauce"/>
        </w:rPr>
        <w:footnoteRef/>
      </w:r>
      <w:r>
        <w:t xml:space="preserve"> </w:t>
      </w:r>
      <w:r w:rsidR="00D61ADE">
        <w:t>/</w:t>
      </w:r>
      <w:r w:rsidRPr="00B1464F">
        <w:rPr>
          <w:sz w:val="20"/>
          <w:szCs w:val="20"/>
        </w:rPr>
        <w:t>EMUS reģistrācijas</w:t>
      </w:r>
      <w:r w:rsidR="00D61ADE">
        <w:rPr>
          <w:sz w:val="20"/>
          <w:szCs w:val="20"/>
        </w:rPr>
        <w:t xml:space="preserve"> </w:t>
      </w:r>
      <w:r w:rsidR="00D61ADE" w:rsidRPr="00DF252D">
        <w:rPr>
          <w:sz w:val="20"/>
          <w:szCs w:val="20"/>
        </w:rPr>
        <w:t>/numurs/</w:t>
      </w:r>
      <w:r w:rsidRPr="00DF252D">
        <w:rPr>
          <w:rFonts w:eastAsia="Times New Roman"/>
          <w:sz w:val="20"/>
          <w:szCs w:val="20"/>
        </w:rPr>
        <w:t xml:space="preserve">, Maksātnespējas kontroles dienestā </w:t>
      </w:r>
      <w:r w:rsidR="00746966" w:rsidRPr="00DF252D">
        <w:rPr>
          <w:rFonts w:eastAsia="Times New Roman"/>
          <w:sz w:val="20"/>
          <w:szCs w:val="20"/>
        </w:rPr>
        <w:t>reģistrēti</w:t>
      </w:r>
      <w:r w:rsidRPr="00DF252D">
        <w:rPr>
          <w:rFonts w:eastAsia="Times New Roman"/>
          <w:sz w:val="20"/>
          <w:szCs w:val="20"/>
        </w:rPr>
        <w:t xml:space="preserve"> 2025. gada </w:t>
      </w:r>
      <w:r w:rsidR="00746966" w:rsidRPr="00DF252D">
        <w:rPr>
          <w:rFonts w:eastAsia="Times New Roman"/>
          <w:sz w:val="20"/>
          <w:szCs w:val="20"/>
        </w:rPr>
        <w:t xml:space="preserve">27. novembrī ar </w:t>
      </w:r>
      <w:r w:rsidR="00D61ADE" w:rsidRPr="00DF252D">
        <w:rPr>
          <w:rFonts w:eastAsia="Times New Roman"/>
          <w:sz w:val="20"/>
          <w:szCs w:val="20"/>
        </w:rPr>
        <w:t>/numurs/</w:t>
      </w:r>
      <w:r w:rsidR="00746966" w:rsidRPr="00DF252D">
        <w:rPr>
          <w:rFonts w:eastAsia="Times New Roman"/>
          <w:sz w:val="20"/>
          <w:szCs w:val="20"/>
        </w:rPr>
        <w:t>.</w:t>
      </w:r>
    </w:p>
  </w:footnote>
  <w:footnote w:id="4">
    <w:p w14:paraId="716302FC" w14:textId="412B8FFE" w:rsidR="00E64C65" w:rsidRPr="00DF252D" w:rsidRDefault="00E64C65">
      <w:pPr>
        <w:pStyle w:val="Vresteksts"/>
      </w:pPr>
      <w:r w:rsidRPr="00DF252D">
        <w:rPr>
          <w:rStyle w:val="Vresatsauce"/>
        </w:rPr>
        <w:footnoteRef/>
      </w:r>
      <w:r w:rsidRPr="00DF252D">
        <w:t xml:space="preserve"> Maksātnespējas kontroles dienestā reģistrē</w:t>
      </w:r>
      <w:r w:rsidR="00254254" w:rsidRPr="00DF252D">
        <w:t xml:space="preserve">ts 2025. gada 10. decembrī ar </w:t>
      </w:r>
      <w:r w:rsidR="00D61ADE" w:rsidRPr="00DF252D">
        <w:t>/numurs/</w:t>
      </w:r>
      <w:r w:rsidR="00E72B35" w:rsidRPr="00DF252D">
        <w:t>.</w:t>
      </w:r>
    </w:p>
  </w:footnote>
  <w:footnote w:id="5">
    <w:p w14:paraId="6C55DF57" w14:textId="771ACF2A" w:rsidR="00D41113" w:rsidRDefault="00D41113" w:rsidP="00853B1A">
      <w:pPr>
        <w:pStyle w:val="Vresteksts"/>
        <w:jc w:val="both"/>
      </w:pPr>
      <w:r w:rsidRPr="00DF252D">
        <w:rPr>
          <w:rStyle w:val="Vresatsauce"/>
        </w:rPr>
        <w:footnoteRef/>
      </w:r>
      <w:r w:rsidR="004F38F7" w:rsidRPr="00DF252D">
        <w:t xml:space="preserve"> EMUS reģistrācijas </w:t>
      </w:r>
      <w:r w:rsidR="00692F41" w:rsidRPr="00DF252D">
        <w:t>/numurs/</w:t>
      </w:r>
      <w:r w:rsidR="00853B1A" w:rsidRPr="00DF252D">
        <w:t>,</w:t>
      </w:r>
      <w:r w:rsidRPr="00DF252D">
        <w:t xml:space="preserve"> Maksātnespējas kontroles dienestā reģistrēta 202</w:t>
      </w:r>
      <w:r w:rsidR="009A27D7" w:rsidRPr="00DF252D">
        <w:t>5</w:t>
      </w:r>
      <w:r w:rsidRPr="00DF252D">
        <w:t xml:space="preserve">. gada </w:t>
      </w:r>
      <w:r w:rsidR="002C4E30" w:rsidRPr="00DF252D">
        <w:t>5. novembrī</w:t>
      </w:r>
      <w:r w:rsidRPr="00DF252D">
        <w:t xml:space="preserve"> ar </w:t>
      </w:r>
      <w:r w:rsidR="00692F41" w:rsidRPr="00DF252D">
        <w:t>/numurs/</w:t>
      </w:r>
      <w:r w:rsidRPr="00DF252D">
        <w:t>.</w:t>
      </w:r>
    </w:p>
  </w:footnote>
  <w:footnote w:id="6">
    <w:p w14:paraId="660DF1C8" w14:textId="77777777" w:rsidR="00921EC0" w:rsidRDefault="00921EC0" w:rsidP="00921EC0">
      <w:pPr>
        <w:pStyle w:val="Vresteksts"/>
      </w:pPr>
      <w:r>
        <w:rPr>
          <w:rStyle w:val="Vresatsauce"/>
        </w:rPr>
        <w:footnoteRef/>
      </w:r>
      <w:r>
        <w:t xml:space="preserve"> Pamatojoties uz </w:t>
      </w:r>
      <w:r w:rsidRPr="006B2243">
        <w:t>Kredītiestāžu likuma 63.</w:t>
      </w:r>
      <w:r>
        <w:t> </w:t>
      </w:r>
      <w:r w:rsidRPr="006B2243">
        <w:t>panta pirmās daļas 20.</w:t>
      </w:r>
      <w:r>
        <w:t> </w:t>
      </w:r>
      <w:r w:rsidRPr="006B2243">
        <w:t>punktu</w:t>
      </w:r>
      <w:r>
        <w:t>.</w:t>
      </w:r>
    </w:p>
  </w:footnote>
  <w:footnote w:id="7">
    <w:p w14:paraId="43655F76" w14:textId="77777777" w:rsidR="005121B5" w:rsidRDefault="005121B5" w:rsidP="005121B5">
      <w:pPr>
        <w:pStyle w:val="Vresteksts"/>
        <w:jc w:val="both"/>
      </w:pPr>
      <w:r>
        <w:rPr>
          <w:rStyle w:val="Vresatsauce"/>
        </w:rPr>
        <w:footnoteRef/>
      </w:r>
      <w:r>
        <w:t> Skatīt Panzani, Luciano. Scope of Application of the Council Regulation 1346/2000. Pieejams: http://www.ejtn.eu/PageFiles/6333/Scope_application_Council_Regulation_1346.pdf</w:t>
      </w:r>
    </w:p>
  </w:footnote>
  <w:footnote w:id="8">
    <w:p w14:paraId="558C4C1B" w14:textId="7DE0EF3C" w:rsidR="005F6B98" w:rsidRPr="00DF252D" w:rsidRDefault="005F6B98" w:rsidP="005F6B98">
      <w:pPr>
        <w:pStyle w:val="Vresteksts"/>
      </w:pPr>
      <w:r>
        <w:rPr>
          <w:rStyle w:val="Vresatsauce"/>
        </w:rPr>
        <w:footnoteRef/>
      </w:r>
      <w:r>
        <w:t xml:space="preserve"> </w:t>
      </w:r>
      <w:r w:rsidRPr="00730A4C">
        <w:t xml:space="preserve">EMUS </w:t>
      </w:r>
      <w:r w:rsidRPr="00DF252D">
        <w:t xml:space="preserve">reģistrācijas </w:t>
      </w:r>
      <w:r w:rsidR="00945C42" w:rsidRPr="00DF252D">
        <w:t>/numurs/</w:t>
      </w:r>
      <w:r w:rsidRPr="00DF252D">
        <w:t>.</w:t>
      </w:r>
    </w:p>
  </w:footnote>
  <w:footnote w:id="9">
    <w:p w14:paraId="02507AC2" w14:textId="0AD5B04E" w:rsidR="005F6B98" w:rsidRDefault="005F6B98" w:rsidP="005F6B98">
      <w:pPr>
        <w:pStyle w:val="Vresteksts"/>
      </w:pPr>
      <w:r w:rsidRPr="00DF252D">
        <w:rPr>
          <w:rStyle w:val="Vresatsauce"/>
        </w:rPr>
        <w:footnoteRef/>
      </w:r>
      <w:r w:rsidRPr="00DF252D">
        <w:t xml:space="preserve"> Reģistrēts EMUS ar </w:t>
      </w:r>
      <w:r w:rsidR="009C353D" w:rsidRPr="00DF252D">
        <w:t>/numurs/</w:t>
      </w:r>
      <w:r w:rsidRPr="00DF252D">
        <w:t>.</w:t>
      </w:r>
    </w:p>
  </w:footnote>
  <w:footnote w:id="10">
    <w:p w14:paraId="733EE3F1" w14:textId="76551D0B" w:rsidR="00516856" w:rsidRDefault="00516856">
      <w:pPr>
        <w:pStyle w:val="Vresteksts"/>
      </w:pPr>
      <w:r>
        <w:rPr>
          <w:rStyle w:val="Vresatsauce"/>
        </w:rPr>
        <w:footnoteRef/>
      </w:r>
      <w:r>
        <w:t xml:space="preserve"> </w:t>
      </w:r>
      <w:r w:rsidRPr="00730A4C">
        <w:t xml:space="preserve">EMUS </w:t>
      </w:r>
      <w:r w:rsidRPr="00DF252D">
        <w:t xml:space="preserve">reģistrācijas </w:t>
      </w:r>
      <w:r w:rsidR="00FB619D" w:rsidRPr="00DF252D">
        <w:t>/numurs</w:t>
      </w:r>
      <w:r w:rsidR="00FB619D">
        <w:t>/</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34ADD" w14:textId="77777777" w:rsidR="006767EB" w:rsidRDefault="006767E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B7960" w14:textId="77777777" w:rsidR="006767EB" w:rsidRDefault="006767E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7FAE" w14:textId="77777777" w:rsidR="00B70C91" w:rsidRDefault="00F1756B" w:rsidP="00F1756B">
    <w:pPr>
      <w:pStyle w:val="Galvene"/>
      <w:jc w:val="center"/>
    </w:pPr>
    <w:r w:rsidRPr="00F1756B">
      <w:rPr>
        <w:noProof/>
        <w:sz w:val="22"/>
        <w:szCs w:val="22"/>
      </w:rPr>
      <w:drawing>
        <wp:inline distT="0" distB="0" distL="0" distR="0" wp14:anchorId="02CB991B" wp14:editId="57BD442C">
          <wp:extent cx="3947160" cy="1691640"/>
          <wp:effectExtent l="0" t="0" r="0" b="3810"/>
          <wp:docPr id="35" name="Picture 35"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B70C91" w:rsidRDefault="00B70C91" w:rsidP="00B70C91">
    <w:pPr>
      <w:pStyle w:val="Galvene"/>
    </w:pPr>
  </w:p>
  <w:p w14:paraId="1A4413C4" w14:textId="77777777" w:rsidR="00B70C91" w:rsidRDefault="00B70C91" w:rsidP="00B70C91">
    <w:pPr>
      <w:pStyle w:val="Galvene"/>
    </w:pPr>
  </w:p>
  <w:p w14:paraId="40B711A8" w14:textId="77777777" w:rsidR="00B70C91" w:rsidRDefault="00B70C91" w:rsidP="00B70C91">
    <w:pPr>
      <w:pStyle w:val="Galvene"/>
    </w:pPr>
  </w:p>
  <w:p w14:paraId="4A2D3080" w14:textId="77777777" w:rsidR="00AE4050" w:rsidRDefault="00AE4050" w:rsidP="00AE4050">
    <w:pPr>
      <w:tabs>
        <w:tab w:val="left" w:pos="2296"/>
      </w:tabs>
      <w:jc w:val="center"/>
      <w:rPr>
        <w:b/>
        <w:sz w:val="28"/>
        <w:szCs w:val="28"/>
      </w:rPr>
    </w:pPr>
    <w:r w:rsidRPr="00232DFF">
      <w:rPr>
        <w:b/>
        <w:sz w:val="28"/>
        <w:szCs w:val="28"/>
      </w:rPr>
      <w:t>Lēmums</w:t>
    </w:r>
  </w:p>
  <w:p w14:paraId="42AA6981" w14:textId="77777777" w:rsidR="00AE4050" w:rsidRDefault="00AE4050"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7"/>
      <w:gridCol w:w="4681"/>
    </w:tblGrid>
    <w:tr w:rsidR="00D37331" w14:paraId="08348528" w14:textId="77777777" w:rsidTr="00D37331">
      <w:tc>
        <w:tcPr>
          <w:tcW w:w="4792" w:type="dxa"/>
        </w:tcPr>
        <w:p w14:paraId="1E9E4CE3" w14:textId="77777777" w:rsidR="00D37331" w:rsidRDefault="00D37331" w:rsidP="00D37331">
          <w:pPr>
            <w:tabs>
              <w:tab w:val="left" w:pos="2296"/>
            </w:tabs>
          </w:pPr>
          <w:r>
            <w:t>19.03.2026.</w:t>
          </w:r>
        </w:p>
      </w:tc>
      <w:tc>
        <w:tcPr>
          <w:tcW w:w="4792" w:type="dxa"/>
        </w:tcPr>
        <w:p w14:paraId="39F85DD5" w14:textId="4A55FB09" w:rsidR="00D37331" w:rsidRPr="00DF252D" w:rsidRDefault="006767EB" w:rsidP="00D37331">
          <w:pPr>
            <w:tabs>
              <w:tab w:val="left" w:pos="2296"/>
            </w:tabs>
            <w:jc w:val="right"/>
          </w:pPr>
          <w:r w:rsidRPr="00DF252D">
            <w:t>/Lēmuma numurs/</w:t>
          </w:r>
        </w:p>
      </w:tc>
    </w:tr>
  </w:tbl>
  <w:p w14:paraId="61E4FBAA" w14:textId="77777777" w:rsidR="00AE4050" w:rsidRDefault="005033FF" w:rsidP="00F013C3">
    <w:pPr>
      <w:pStyle w:val="Galvene"/>
      <w:tabs>
        <w:tab w:val="clear" w:pos="4320"/>
        <w:tab w:val="clear" w:pos="8640"/>
        <w:tab w:val="right" w:pos="6237"/>
      </w:tabs>
    </w:pPr>
    <w:r>
      <w:rPr>
        <w:noProof/>
      </w:rPr>
      <mc:AlternateContent>
        <mc:Choice Requires="wps">
          <w:drawing>
            <wp:anchor distT="0" distB="0" distL="114300" distR="114300" simplePos="0" relativeHeight="251663360" behindDoc="1" locked="0" layoutInCell="1" allowOverlap="1" wp14:anchorId="12ED4200" wp14:editId="3309C7B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95F4" w14:textId="142882EC" w:rsidR="00B70C91" w:rsidRDefault="00B70C91"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D4200"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1AC895F4" w14:textId="142882EC" w:rsidR="00B70C91" w:rsidRDefault="00B70C91"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60288" behindDoc="1" locked="0" layoutInCell="1" allowOverlap="1" wp14:anchorId="193F05BB" wp14:editId="21CB9966">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41" style="position:absolute;margin-left:145.7pt;margin-top:149.85pt;width:346.25pt;height:.1pt;z-index:-251656192;mso-position-horizontal-relative:page;mso-position-vertical-relative:page" coordsize="6926,2" coordorigin="2915,2998" o:spid="_x0000_s1026" w14:anchorId="16729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490"/>
        </w:tabs>
        <w:ind w:left="490" w:firstLine="0"/>
      </w:pPr>
      <w:rPr>
        <w:rFonts w:ascii="Symbol" w:hAnsi="Symbol" w:hint="default"/>
      </w:rPr>
    </w:lvl>
    <w:lvl w:ilvl="1">
      <w:start w:val="1"/>
      <w:numFmt w:val="bullet"/>
      <w:lvlText w:val=""/>
      <w:lvlJc w:val="left"/>
      <w:pPr>
        <w:tabs>
          <w:tab w:val="num" w:pos="1210"/>
        </w:tabs>
        <w:ind w:left="1570" w:hanging="360"/>
      </w:pPr>
      <w:rPr>
        <w:rFonts w:ascii="Symbol" w:hAnsi="Symbol" w:hint="default"/>
      </w:rPr>
    </w:lvl>
    <w:lvl w:ilvl="2">
      <w:start w:val="1"/>
      <w:numFmt w:val="bullet"/>
      <w:lvlText w:val="o"/>
      <w:lvlJc w:val="left"/>
      <w:pPr>
        <w:tabs>
          <w:tab w:val="num" w:pos="1930"/>
        </w:tabs>
        <w:ind w:left="2290" w:hanging="360"/>
      </w:pPr>
      <w:rPr>
        <w:rFonts w:ascii="Courier New" w:hAnsi="Courier New" w:hint="default"/>
      </w:rPr>
    </w:lvl>
    <w:lvl w:ilvl="3">
      <w:start w:val="1"/>
      <w:numFmt w:val="bullet"/>
      <w:lvlText w:val=""/>
      <w:lvlJc w:val="left"/>
      <w:pPr>
        <w:tabs>
          <w:tab w:val="num" w:pos="2650"/>
        </w:tabs>
        <w:ind w:left="3010" w:hanging="360"/>
      </w:pPr>
      <w:rPr>
        <w:rFonts w:ascii="Wingdings" w:hAnsi="Wingdings" w:hint="default"/>
      </w:rPr>
    </w:lvl>
    <w:lvl w:ilvl="4">
      <w:start w:val="1"/>
      <w:numFmt w:val="bullet"/>
      <w:lvlText w:val=""/>
      <w:lvlJc w:val="left"/>
      <w:pPr>
        <w:tabs>
          <w:tab w:val="num" w:pos="3370"/>
        </w:tabs>
        <w:ind w:left="3730" w:hanging="360"/>
      </w:pPr>
      <w:rPr>
        <w:rFonts w:ascii="Wingdings" w:hAnsi="Wingdings" w:hint="default"/>
      </w:rPr>
    </w:lvl>
    <w:lvl w:ilvl="5">
      <w:start w:val="1"/>
      <w:numFmt w:val="bullet"/>
      <w:lvlText w:val=""/>
      <w:lvlJc w:val="left"/>
      <w:pPr>
        <w:tabs>
          <w:tab w:val="num" w:pos="4090"/>
        </w:tabs>
        <w:ind w:left="4450" w:hanging="360"/>
      </w:pPr>
      <w:rPr>
        <w:rFonts w:ascii="Symbol" w:hAnsi="Symbol" w:hint="default"/>
      </w:rPr>
    </w:lvl>
    <w:lvl w:ilvl="6">
      <w:start w:val="1"/>
      <w:numFmt w:val="bullet"/>
      <w:lvlText w:val="o"/>
      <w:lvlJc w:val="left"/>
      <w:pPr>
        <w:tabs>
          <w:tab w:val="num" w:pos="4810"/>
        </w:tabs>
        <w:ind w:left="5170" w:hanging="360"/>
      </w:pPr>
      <w:rPr>
        <w:rFonts w:ascii="Courier New" w:hAnsi="Courier New" w:hint="default"/>
      </w:rPr>
    </w:lvl>
    <w:lvl w:ilvl="7">
      <w:start w:val="1"/>
      <w:numFmt w:val="bullet"/>
      <w:lvlText w:val=""/>
      <w:lvlJc w:val="left"/>
      <w:pPr>
        <w:tabs>
          <w:tab w:val="num" w:pos="5530"/>
        </w:tabs>
        <w:ind w:left="5890" w:hanging="360"/>
      </w:pPr>
      <w:rPr>
        <w:rFonts w:ascii="Wingdings" w:hAnsi="Wingdings" w:hint="default"/>
      </w:rPr>
    </w:lvl>
    <w:lvl w:ilvl="8">
      <w:start w:val="1"/>
      <w:numFmt w:val="bullet"/>
      <w:lvlText w:val=""/>
      <w:lvlJc w:val="left"/>
      <w:pPr>
        <w:tabs>
          <w:tab w:val="num" w:pos="6250"/>
        </w:tabs>
        <w:ind w:left="661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1256CD"/>
    <w:multiLevelType w:val="hybridMultilevel"/>
    <w:tmpl w:val="A0F450E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03656FC4"/>
    <w:multiLevelType w:val="hybridMultilevel"/>
    <w:tmpl w:val="EE46831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04E451EB"/>
    <w:multiLevelType w:val="hybridMultilevel"/>
    <w:tmpl w:val="CD42E570"/>
    <w:lvl w:ilvl="0" w:tplc="04260011">
      <w:start w:val="1"/>
      <w:numFmt w:val="decimal"/>
      <w:lvlText w:val="%1)"/>
      <w:lvlJc w:val="left"/>
      <w:pPr>
        <w:ind w:left="1211" w:hanging="360"/>
      </w:p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4" w15:restartNumberingAfterBreak="0">
    <w:nsid w:val="06DF4745"/>
    <w:multiLevelType w:val="hybridMultilevel"/>
    <w:tmpl w:val="5EFC6C64"/>
    <w:lvl w:ilvl="0" w:tplc="BA34151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5" w15:restartNumberingAfterBreak="0">
    <w:nsid w:val="111A4E04"/>
    <w:multiLevelType w:val="hybridMultilevel"/>
    <w:tmpl w:val="2E3C3E12"/>
    <w:lvl w:ilvl="0" w:tplc="FFFFFFFF">
      <w:start w:val="1"/>
      <w:numFmt w:val="decimal"/>
      <w:lvlText w:val="%1."/>
      <w:lvlJc w:val="left"/>
      <w:pPr>
        <w:ind w:left="1070" w:hanging="360"/>
      </w:p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6" w15:restartNumberingAfterBreak="0">
    <w:nsid w:val="150A4A41"/>
    <w:multiLevelType w:val="hybridMultilevel"/>
    <w:tmpl w:val="5472F99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E0E3DC3"/>
    <w:multiLevelType w:val="hybridMultilevel"/>
    <w:tmpl w:val="4E962D2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31F1322"/>
    <w:multiLevelType w:val="hybridMultilevel"/>
    <w:tmpl w:val="60ECD9FE"/>
    <w:lvl w:ilvl="0" w:tplc="04260011">
      <w:start w:val="1"/>
      <w:numFmt w:val="decimal"/>
      <w:lvlText w:val="%1)"/>
      <w:lvlJc w:val="left"/>
      <w:pPr>
        <w:ind w:left="1068" w:hanging="360"/>
      </w:pPr>
    </w:lvl>
    <w:lvl w:ilvl="1" w:tplc="04260019" w:tentative="1">
      <w:start w:val="1"/>
      <w:numFmt w:val="lowerLetter"/>
      <w:lvlText w:val="%2."/>
      <w:lvlJc w:val="left"/>
      <w:pPr>
        <w:ind w:left="1788" w:hanging="360"/>
      </w:pPr>
    </w:lvl>
    <w:lvl w:ilvl="2" w:tplc="0426001B" w:tentative="1">
      <w:start w:val="1"/>
      <w:numFmt w:val="lowerRoman"/>
      <w:lvlText w:val="%3."/>
      <w:lvlJc w:val="right"/>
      <w:pPr>
        <w:ind w:left="2508" w:hanging="180"/>
      </w:pPr>
    </w:lvl>
    <w:lvl w:ilvl="3" w:tplc="0426000F" w:tentative="1">
      <w:start w:val="1"/>
      <w:numFmt w:val="decimal"/>
      <w:lvlText w:val="%4."/>
      <w:lvlJc w:val="left"/>
      <w:pPr>
        <w:ind w:left="3228" w:hanging="360"/>
      </w:pPr>
    </w:lvl>
    <w:lvl w:ilvl="4" w:tplc="04260019" w:tentative="1">
      <w:start w:val="1"/>
      <w:numFmt w:val="lowerLetter"/>
      <w:lvlText w:val="%5."/>
      <w:lvlJc w:val="left"/>
      <w:pPr>
        <w:ind w:left="3948" w:hanging="360"/>
      </w:pPr>
    </w:lvl>
    <w:lvl w:ilvl="5" w:tplc="0426001B" w:tentative="1">
      <w:start w:val="1"/>
      <w:numFmt w:val="lowerRoman"/>
      <w:lvlText w:val="%6."/>
      <w:lvlJc w:val="right"/>
      <w:pPr>
        <w:ind w:left="4668" w:hanging="180"/>
      </w:pPr>
    </w:lvl>
    <w:lvl w:ilvl="6" w:tplc="0426000F" w:tentative="1">
      <w:start w:val="1"/>
      <w:numFmt w:val="decimal"/>
      <w:lvlText w:val="%7."/>
      <w:lvlJc w:val="left"/>
      <w:pPr>
        <w:ind w:left="5388" w:hanging="360"/>
      </w:pPr>
    </w:lvl>
    <w:lvl w:ilvl="7" w:tplc="04260019" w:tentative="1">
      <w:start w:val="1"/>
      <w:numFmt w:val="lowerLetter"/>
      <w:lvlText w:val="%8."/>
      <w:lvlJc w:val="left"/>
      <w:pPr>
        <w:ind w:left="6108" w:hanging="360"/>
      </w:pPr>
    </w:lvl>
    <w:lvl w:ilvl="8" w:tplc="0426001B" w:tentative="1">
      <w:start w:val="1"/>
      <w:numFmt w:val="lowerRoman"/>
      <w:lvlText w:val="%9."/>
      <w:lvlJc w:val="right"/>
      <w:pPr>
        <w:ind w:left="6828" w:hanging="180"/>
      </w:pPr>
    </w:lvl>
  </w:abstractNum>
  <w:abstractNum w:abstractNumId="19" w15:restartNumberingAfterBreak="0">
    <w:nsid w:val="27854861"/>
    <w:multiLevelType w:val="hybridMultilevel"/>
    <w:tmpl w:val="903CCAFE"/>
    <w:lvl w:ilvl="0" w:tplc="A1DAD5EE">
      <w:start w:val="1"/>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292B0905"/>
    <w:multiLevelType w:val="hybridMultilevel"/>
    <w:tmpl w:val="2E3C3E12"/>
    <w:lvl w:ilvl="0" w:tplc="0426000F">
      <w:start w:val="1"/>
      <w:numFmt w:val="decimal"/>
      <w:lvlText w:val="%1."/>
      <w:lvlJc w:val="left"/>
      <w:pPr>
        <w:ind w:left="1070" w:hanging="360"/>
      </w:p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21" w15:restartNumberingAfterBreak="0">
    <w:nsid w:val="30003334"/>
    <w:multiLevelType w:val="multilevel"/>
    <w:tmpl w:val="11D22A6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2" w15:restartNumberingAfterBreak="0">
    <w:nsid w:val="327A34D6"/>
    <w:multiLevelType w:val="hybridMultilevel"/>
    <w:tmpl w:val="4F9A3E0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0803A71"/>
    <w:multiLevelType w:val="hybridMultilevel"/>
    <w:tmpl w:val="E708A2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3450341"/>
    <w:multiLevelType w:val="hybridMultilevel"/>
    <w:tmpl w:val="FAD8C6E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6114DD7"/>
    <w:multiLevelType w:val="hybridMultilevel"/>
    <w:tmpl w:val="0C06B47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BCE6BEF"/>
    <w:multiLevelType w:val="hybridMultilevel"/>
    <w:tmpl w:val="9242928E"/>
    <w:lvl w:ilvl="0" w:tplc="F232FEB0">
      <w:start w:val="1"/>
      <w:numFmt w:val="decimal"/>
      <w:lvlText w:val="%1."/>
      <w:lvlJc w:val="left"/>
      <w:pPr>
        <w:ind w:left="786" w:hanging="360"/>
      </w:pPr>
      <w:rPr>
        <w:rFonts w:ascii="Calibri" w:eastAsia="Times New Roman" w:hAnsi="Calibri" w:cs="Calibri"/>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7" w15:restartNumberingAfterBreak="0">
    <w:nsid w:val="5657CA50"/>
    <w:multiLevelType w:val="singleLevel"/>
    <w:tmpl w:val="5657CA50"/>
    <w:lvl w:ilvl="0">
      <w:start w:val="1"/>
      <w:numFmt w:val="decimal"/>
      <w:suff w:val="space"/>
      <w:lvlText w:val="[%1]"/>
      <w:lvlJc w:val="left"/>
      <w:pPr>
        <w:ind w:left="0" w:firstLine="0"/>
      </w:pPr>
    </w:lvl>
  </w:abstractNum>
  <w:abstractNum w:abstractNumId="28" w15:restartNumberingAfterBreak="0">
    <w:nsid w:val="57354C3D"/>
    <w:multiLevelType w:val="hybridMultilevel"/>
    <w:tmpl w:val="1CC8A9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4DA48F4"/>
    <w:multiLevelType w:val="hybridMultilevel"/>
    <w:tmpl w:val="38D82C8A"/>
    <w:lvl w:ilvl="0" w:tplc="FE7A4BC6">
      <w:start w:val="1"/>
      <w:numFmt w:val="decimal"/>
      <w:lvlText w:val="%1."/>
      <w:lvlJc w:val="left"/>
      <w:pPr>
        <w:ind w:left="1356" w:hanging="360"/>
      </w:pPr>
      <w:rPr>
        <w:rFonts w:hint="default"/>
        <w:b/>
      </w:rPr>
    </w:lvl>
    <w:lvl w:ilvl="1" w:tplc="04260019" w:tentative="1">
      <w:start w:val="1"/>
      <w:numFmt w:val="lowerLetter"/>
      <w:lvlText w:val="%2."/>
      <w:lvlJc w:val="left"/>
      <w:pPr>
        <w:ind w:left="2076" w:hanging="360"/>
      </w:pPr>
    </w:lvl>
    <w:lvl w:ilvl="2" w:tplc="0426001B" w:tentative="1">
      <w:start w:val="1"/>
      <w:numFmt w:val="lowerRoman"/>
      <w:lvlText w:val="%3."/>
      <w:lvlJc w:val="right"/>
      <w:pPr>
        <w:ind w:left="2796" w:hanging="180"/>
      </w:pPr>
    </w:lvl>
    <w:lvl w:ilvl="3" w:tplc="0426000F" w:tentative="1">
      <w:start w:val="1"/>
      <w:numFmt w:val="decimal"/>
      <w:lvlText w:val="%4."/>
      <w:lvlJc w:val="left"/>
      <w:pPr>
        <w:ind w:left="3516" w:hanging="360"/>
      </w:pPr>
    </w:lvl>
    <w:lvl w:ilvl="4" w:tplc="04260019" w:tentative="1">
      <w:start w:val="1"/>
      <w:numFmt w:val="lowerLetter"/>
      <w:lvlText w:val="%5."/>
      <w:lvlJc w:val="left"/>
      <w:pPr>
        <w:ind w:left="4236" w:hanging="360"/>
      </w:pPr>
    </w:lvl>
    <w:lvl w:ilvl="5" w:tplc="0426001B" w:tentative="1">
      <w:start w:val="1"/>
      <w:numFmt w:val="lowerRoman"/>
      <w:lvlText w:val="%6."/>
      <w:lvlJc w:val="right"/>
      <w:pPr>
        <w:ind w:left="4956" w:hanging="180"/>
      </w:pPr>
    </w:lvl>
    <w:lvl w:ilvl="6" w:tplc="0426000F" w:tentative="1">
      <w:start w:val="1"/>
      <w:numFmt w:val="decimal"/>
      <w:lvlText w:val="%7."/>
      <w:lvlJc w:val="left"/>
      <w:pPr>
        <w:ind w:left="5676" w:hanging="360"/>
      </w:pPr>
    </w:lvl>
    <w:lvl w:ilvl="7" w:tplc="04260019" w:tentative="1">
      <w:start w:val="1"/>
      <w:numFmt w:val="lowerLetter"/>
      <w:lvlText w:val="%8."/>
      <w:lvlJc w:val="left"/>
      <w:pPr>
        <w:ind w:left="6396" w:hanging="360"/>
      </w:pPr>
    </w:lvl>
    <w:lvl w:ilvl="8" w:tplc="0426001B" w:tentative="1">
      <w:start w:val="1"/>
      <w:numFmt w:val="lowerRoman"/>
      <w:lvlText w:val="%9."/>
      <w:lvlJc w:val="right"/>
      <w:pPr>
        <w:ind w:left="7116" w:hanging="180"/>
      </w:pPr>
    </w:lvl>
  </w:abstractNum>
  <w:abstractNum w:abstractNumId="30" w15:restartNumberingAfterBreak="0">
    <w:nsid w:val="74FD7220"/>
    <w:multiLevelType w:val="hybridMultilevel"/>
    <w:tmpl w:val="E708A2E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7746445"/>
    <w:multiLevelType w:val="hybridMultilevel"/>
    <w:tmpl w:val="2690AE52"/>
    <w:lvl w:ilvl="0" w:tplc="2F6EF03C">
      <w:start w:val="1"/>
      <w:numFmt w:val="decimal"/>
      <w:lvlText w:val="%1."/>
      <w:lvlJc w:val="left"/>
      <w:pPr>
        <w:ind w:left="1212" w:hanging="360"/>
      </w:pPr>
      <w:rPr>
        <w:rFonts w:asciiTheme="majorHAnsi" w:eastAsia="Times New Roman" w:hAnsiTheme="majorHAnsi" w:cstheme="majorHAnsi"/>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2" w15:restartNumberingAfterBreak="0">
    <w:nsid w:val="7A252D2B"/>
    <w:multiLevelType w:val="hybridMultilevel"/>
    <w:tmpl w:val="3118B11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C134220"/>
    <w:multiLevelType w:val="hybridMultilevel"/>
    <w:tmpl w:val="FC4EFC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43734071">
    <w:abstractNumId w:val="10"/>
  </w:num>
  <w:num w:numId="2" w16cid:durableId="1366252651">
    <w:abstractNumId w:val="8"/>
  </w:num>
  <w:num w:numId="3" w16cid:durableId="275984974">
    <w:abstractNumId w:val="7"/>
  </w:num>
  <w:num w:numId="4" w16cid:durableId="1482842288">
    <w:abstractNumId w:val="6"/>
  </w:num>
  <w:num w:numId="5" w16cid:durableId="137767704">
    <w:abstractNumId w:val="5"/>
  </w:num>
  <w:num w:numId="6" w16cid:durableId="1373767278">
    <w:abstractNumId w:val="9"/>
  </w:num>
  <w:num w:numId="7" w16cid:durableId="957684461">
    <w:abstractNumId w:val="4"/>
  </w:num>
  <w:num w:numId="8" w16cid:durableId="507868452">
    <w:abstractNumId w:val="3"/>
  </w:num>
  <w:num w:numId="9" w16cid:durableId="2076538107">
    <w:abstractNumId w:val="2"/>
  </w:num>
  <w:num w:numId="10" w16cid:durableId="190338076">
    <w:abstractNumId w:val="1"/>
  </w:num>
  <w:num w:numId="11" w16cid:durableId="115804673">
    <w:abstractNumId w:val="0"/>
  </w:num>
  <w:num w:numId="12" w16cid:durableId="8334496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6577155">
    <w:abstractNumId w:val="27"/>
    <w:lvlOverride w:ilvl="0">
      <w:startOverride w:val="1"/>
    </w:lvlOverride>
  </w:num>
  <w:num w:numId="14" w16cid:durableId="931426354">
    <w:abstractNumId w:val="21"/>
  </w:num>
  <w:num w:numId="15" w16cid:durableId="502744338">
    <w:abstractNumId w:val="13"/>
  </w:num>
  <w:num w:numId="16" w16cid:durableId="551159454">
    <w:abstractNumId w:val="32"/>
  </w:num>
  <w:num w:numId="17" w16cid:durableId="1732120469">
    <w:abstractNumId w:val="28"/>
  </w:num>
  <w:num w:numId="18" w16cid:durableId="2011440780">
    <w:abstractNumId w:val="16"/>
  </w:num>
  <w:num w:numId="19" w16cid:durableId="1419328938">
    <w:abstractNumId w:val="19"/>
  </w:num>
  <w:num w:numId="20" w16cid:durableId="1050763536">
    <w:abstractNumId w:val="29"/>
  </w:num>
  <w:num w:numId="21" w16cid:durableId="826476283">
    <w:abstractNumId w:val="12"/>
  </w:num>
  <w:num w:numId="22" w16cid:durableId="1230460441">
    <w:abstractNumId w:val="22"/>
  </w:num>
  <w:num w:numId="23" w16cid:durableId="1870996054">
    <w:abstractNumId w:val="33"/>
  </w:num>
  <w:num w:numId="24" w16cid:durableId="1172405352">
    <w:abstractNumId w:val="11"/>
  </w:num>
  <w:num w:numId="25" w16cid:durableId="805583869">
    <w:abstractNumId w:val="20"/>
  </w:num>
  <w:num w:numId="26" w16cid:durableId="1835996899">
    <w:abstractNumId w:val="25"/>
  </w:num>
  <w:num w:numId="27" w16cid:durableId="696977054">
    <w:abstractNumId w:val="15"/>
  </w:num>
  <w:num w:numId="28" w16cid:durableId="1097870321">
    <w:abstractNumId w:val="30"/>
  </w:num>
  <w:num w:numId="29" w16cid:durableId="1265383017">
    <w:abstractNumId w:val="23"/>
  </w:num>
  <w:num w:numId="30" w16cid:durableId="401560055">
    <w:abstractNumId w:val="24"/>
  </w:num>
  <w:num w:numId="31" w16cid:durableId="460422576">
    <w:abstractNumId w:val="18"/>
  </w:num>
  <w:num w:numId="32" w16cid:durableId="815147645">
    <w:abstractNumId w:val="26"/>
  </w:num>
  <w:num w:numId="33" w16cid:durableId="749040850">
    <w:abstractNumId w:val="31"/>
  </w:num>
  <w:num w:numId="34" w16cid:durableId="118305841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6384"/>
    <w:rsid w:val="00006882"/>
    <w:rsid w:val="000077DB"/>
    <w:rsid w:val="00007FD1"/>
    <w:rsid w:val="00010C73"/>
    <w:rsid w:val="00013BAC"/>
    <w:rsid w:val="00014B83"/>
    <w:rsid w:val="000162C1"/>
    <w:rsid w:val="00016DBF"/>
    <w:rsid w:val="0001726D"/>
    <w:rsid w:val="0002001B"/>
    <w:rsid w:val="00020ED7"/>
    <w:rsid w:val="00021902"/>
    <w:rsid w:val="00021E0D"/>
    <w:rsid w:val="00023BAD"/>
    <w:rsid w:val="000259A7"/>
    <w:rsid w:val="00027115"/>
    <w:rsid w:val="00030349"/>
    <w:rsid w:val="00030941"/>
    <w:rsid w:val="00034161"/>
    <w:rsid w:val="000347AE"/>
    <w:rsid w:val="000370A1"/>
    <w:rsid w:val="0004078D"/>
    <w:rsid w:val="000412EF"/>
    <w:rsid w:val="0004265C"/>
    <w:rsid w:val="000433EF"/>
    <w:rsid w:val="0004570A"/>
    <w:rsid w:val="000460D9"/>
    <w:rsid w:val="000471C1"/>
    <w:rsid w:val="000504EF"/>
    <w:rsid w:val="0005297F"/>
    <w:rsid w:val="00055F11"/>
    <w:rsid w:val="00061C78"/>
    <w:rsid w:val="00064726"/>
    <w:rsid w:val="00064885"/>
    <w:rsid w:val="000659D6"/>
    <w:rsid w:val="00071FB2"/>
    <w:rsid w:val="00072112"/>
    <w:rsid w:val="00072DFF"/>
    <w:rsid w:val="0007322A"/>
    <w:rsid w:val="000735AB"/>
    <w:rsid w:val="00077619"/>
    <w:rsid w:val="000818B6"/>
    <w:rsid w:val="00085162"/>
    <w:rsid w:val="000851B6"/>
    <w:rsid w:val="00085C14"/>
    <w:rsid w:val="000911BA"/>
    <w:rsid w:val="00091B57"/>
    <w:rsid w:val="000931D6"/>
    <w:rsid w:val="000968BE"/>
    <w:rsid w:val="00096C0E"/>
    <w:rsid w:val="000A0A49"/>
    <w:rsid w:val="000A153C"/>
    <w:rsid w:val="000A2C90"/>
    <w:rsid w:val="000A412F"/>
    <w:rsid w:val="000B03D6"/>
    <w:rsid w:val="000B283E"/>
    <w:rsid w:val="000B5737"/>
    <w:rsid w:val="000B5A98"/>
    <w:rsid w:val="000B7E10"/>
    <w:rsid w:val="000C00A1"/>
    <w:rsid w:val="000C32C2"/>
    <w:rsid w:val="000C5CE6"/>
    <w:rsid w:val="000C6979"/>
    <w:rsid w:val="000C71F9"/>
    <w:rsid w:val="000C7DC4"/>
    <w:rsid w:val="000D0571"/>
    <w:rsid w:val="000D18AB"/>
    <w:rsid w:val="000D2BC1"/>
    <w:rsid w:val="000D51D6"/>
    <w:rsid w:val="000D64A7"/>
    <w:rsid w:val="000D7019"/>
    <w:rsid w:val="000E0885"/>
    <w:rsid w:val="000E37A5"/>
    <w:rsid w:val="000E5348"/>
    <w:rsid w:val="000F0038"/>
    <w:rsid w:val="000F0CAD"/>
    <w:rsid w:val="000F0CDE"/>
    <w:rsid w:val="000F20BF"/>
    <w:rsid w:val="000F2E9C"/>
    <w:rsid w:val="000F324F"/>
    <w:rsid w:val="000F543B"/>
    <w:rsid w:val="000F7A46"/>
    <w:rsid w:val="00102C95"/>
    <w:rsid w:val="00103C2F"/>
    <w:rsid w:val="00106DA1"/>
    <w:rsid w:val="00110CE2"/>
    <w:rsid w:val="00113D20"/>
    <w:rsid w:val="001152A6"/>
    <w:rsid w:val="00116626"/>
    <w:rsid w:val="00120B6E"/>
    <w:rsid w:val="00120C54"/>
    <w:rsid w:val="00124173"/>
    <w:rsid w:val="00124F80"/>
    <w:rsid w:val="00126D56"/>
    <w:rsid w:val="00126EC3"/>
    <w:rsid w:val="00131489"/>
    <w:rsid w:val="00132A10"/>
    <w:rsid w:val="00133966"/>
    <w:rsid w:val="00134B22"/>
    <w:rsid w:val="0014079E"/>
    <w:rsid w:val="001415A6"/>
    <w:rsid w:val="001415D1"/>
    <w:rsid w:val="00142DB7"/>
    <w:rsid w:val="00145635"/>
    <w:rsid w:val="00146671"/>
    <w:rsid w:val="00146F15"/>
    <w:rsid w:val="0014723E"/>
    <w:rsid w:val="0014754C"/>
    <w:rsid w:val="00152815"/>
    <w:rsid w:val="00153F46"/>
    <w:rsid w:val="001546B0"/>
    <w:rsid w:val="00154D41"/>
    <w:rsid w:val="00154EF8"/>
    <w:rsid w:val="00160580"/>
    <w:rsid w:val="001633F4"/>
    <w:rsid w:val="00163411"/>
    <w:rsid w:val="00163D9D"/>
    <w:rsid w:val="0016506A"/>
    <w:rsid w:val="00165E20"/>
    <w:rsid w:val="0016653E"/>
    <w:rsid w:val="001676A1"/>
    <w:rsid w:val="00167ACC"/>
    <w:rsid w:val="00170CE1"/>
    <w:rsid w:val="00171803"/>
    <w:rsid w:val="00171F58"/>
    <w:rsid w:val="00174105"/>
    <w:rsid w:val="00176FD6"/>
    <w:rsid w:val="001778FC"/>
    <w:rsid w:val="00181B9A"/>
    <w:rsid w:val="001846D1"/>
    <w:rsid w:val="00184EE5"/>
    <w:rsid w:val="00186D4F"/>
    <w:rsid w:val="001A10B3"/>
    <w:rsid w:val="001A7D53"/>
    <w:rsid w:val="001B0125"/>
    <w:rsid w:val="001B229F"/>
    <w:rsid w:val="001B265D"/>
    <w:rsid w:val="001B5FFB"/>
    <w:rsid w:val="001B6630"/>
    <w:rsid w:val="001B79BA"/>
    <w:rsid w:val="001C0EBC"/>
    <w:rsid w:val="001C2DCD"/>
    <w:rsid w:val="001C4C5D"/>
    <w:rsid w:val="001C4EBC"/>
    <w:rsid w:val="001C664E"/>
    <w:rsid w:val="001C6E97"/>
    <w:rsid w:val="001D27FE"/>
    <w:rsid w:val="001D4515"/>
    <w:rsid w:val="001D649D"/>
    <w:rsid w:val="001D6D4C"/>
    <w:rsid w:val="001E078E"/>
    <w:rsid w:val="001E14E2"/>
    <w:rsid w:val="001E1835"/>
    <w:rsid w:val="001F09C9"/>
    <w:rsid w:val="001F1AC7"/>
    <w:rsid w:val="001F2070"/>
    <w:rsid w:val="001F3E5E"/>
    <w:rsid w:val="00204F7A"/>
    <w:rsid w:val="00206181"/>
    <w:rsid w:val="002075A8"/>
    <w:rsid w:val="00210A5E"/>
    <w:rsid w:val="002129B1"/>
    <w:rsid w:val="002148AD"/>
    <w:rsid w:val="00221596"/>
    <w:rsid w:val="002227E4"/>
    <w:rsid w:val="00223018"/>
    <w:rsid w:val="002320ED"/>
    <w:rsid w:val="0023241A"/>
    <w:rsid w:val="00240127"/>
    <w:rsid w:val="002415D4"/>
    <w:rsid w:val="00241CF8"/>
    <w:rsid w:val="00243D39"/>
    <w:rsid w:val="0024602A"/>
    <w:rsid w:val="00246CA3"/>
    <w:rsid w:val="0025006F"/>
    <w:rsid w:val="00251047"/>
    <w:rsid w:val="002520EE"/>
    <w:rsid w:val="00254254"/>
    <w:rsid w:val="002545A4"/>
    <w:rsid w:val="00254C8E"/>
    <w:rsid w:val="00255075"/>
    <w:rsid w:val="0025658D"/>
    <w:rsid w:val="00256F2A"/>
    <w:rsid w:val="00257B5D"/>
    <w:rsid w:val="002616A7"/>
    <w:rsid w:val="00261842"/>
    <w:rsid w:val="00264471"/>
    <w:rsid w:val="0026486F"/>
    <w:rsid w:val="002649C9"/>
    <w:rsid w:val="0027226C"/>
    <w:rsid w:val="00272323"/>
    <w:rsid w:val="0027350E"/>
    <w:rsid w:val="002755C4"/>
    <w:rsid w:val="00275B9E"/>
    <w:rsid w:val="00276842"/>
    <w:rsid w:val="00280806"/>
    <w:rsid w:val="00287A23"/>
    <w:rsid w:val="002901A3"/>
    <w:rsid w:val="00292DBC"/>
    <w:rsid w:val="00292DCA"/>
    <w:rsid w:val="002932AC"/>
    <w:rsid w:val="0029356B"/>
    <w:rsid w:val="00294427"/>
    <w:rsid w:val="0029450F"/>
    <w:rsid w:val="00294F72"/>
    <w:rsid w:val="00295300"/>
    <w:rsid w:val="002A3060"/>
    <w:rsid w:val="002A4207"/>
    <w:rsid w:val="002A420E"/>
    <w:rsid w:val="002A71F9"/>
    <w:rsid w:val="002A7CC9"/>
    <w:rsid w:val="002B0A72"/>
    <w:rsid w:val="002B21F0"/>
    <w:rsid w:val="002B2810"/>
    <w:rsid w:val="002B432C"/>
    <w:rsid w:val="002C2AE4"/>
    <w:rsid w:val="002C39B5"/>
    <w:rsid w:val="002C4BCA"/>
    <w:rsid w:val="002C4E30"/>
    <w:rsid w:val="002C611A"/>
    <w:rsid w:val="002C69DD"/>
    <w:rsid w:val="002D12DB"/>
    <w:rsid w:val="002D3458"/>
    <w:rsid w:val="002D3F6D"/>
    <w:rsid w:val="002D5D6F"/>
    <w:rsid w:val="002D61E3"/>
    <w:rsid w:val="002D64B7"/>
    <w:rsid w:val="002D74FA"/>
    <w:rsid w:val="002E0D23"/>
    <w:rsid w:val="002E1474"/>
    <w:rsid w:val="002E165C"/>
    <w:rsid w:val="002E2392"/>
    <w:rsid w:val="002E2E4B"/>
    <w:rsid w:val="002E53DA"/>
    <w:rsid w:val="002E675D"/>
    <w:rsid w:val="002E6888"/>
    <w:rsid w:val="002E77E1"/>
    <w:rsid w:val="002F13DC"/>
    <w:rsid w:val="002F270B"/>
    <w:rsid w:val="002F5A14"/>
    <w:rsid w:val="002F770A"/>
    <w:rsid w:val="002F7D7A"/>
    <w:rsid w:val="00301326"/>
    <w:rsid w:val="00303EB4"/>
    <w:rsid w:val="00306811"/>
    <w:rsid w:val="00307A13"/>
    <w:rsid w:val="00313D87"/>
    <w:rsid w:val="003253CB"/>
    <w:rsid w:val="00325686"/>
    <w:rsid w:val="00330D8F"/>
    <w:rsid w:val="003322AF"/>
    <w:rsid w:val="003328A5"/>
    <w:rsid w:val="00332C22"/>
    <w:rsid w:val="00334BDD"/>
    <w:rsid w:val="00335B07"/>
    <w:rsid w:val="003378C9"/>
    <w:rsid w:val="00340130"/>
    <w:rsid w:val="00340841"/>
    <w:rsid w:val="00341FFC"/>
    <w:rsid w:val="00342CF0"/>
    <w:rsid w:val="003430A2"/>
    <w:rsid w:val="00344700"/>
    <w:rsid w:val="0034581C"/>
    <w:rsid w:val="00350C5F"/>
    <w:rsid w:val="0035108F"/>
    <w:rsid w:val="00353BBC"/>
    <w:rsid w:val="00354339"/>
    <w:rsid w:val="00357785"/>
    <w:rsid w:val="00357849"/>
    <w:rsid w:val="00365E18"/>
    <w:rsid w:val="00366E66"/>
    <w:rsid w:val="00370C58"/>
    <w:rsid w:val="003715A1"/>
    <w:rsid w:val="00371E9A"/>
    <w:rsid w:val="00375D09"/>
    <w:rsid w:val="00377B7E"/>
    <w:rsid w:val="00386314"/>
    <w:rsid w:val="0038751D"/>
    <w:rsid w:val="00390507"/>
    <w:rsid w:val="00391D1E"/>
    <w:rsid w:val="0039242C"/>
    <w:rsid w:val="00393BE4"/>
    <w:rsid w:val="003961E6"/>
    <w:rsid w:val="00397BDB"/>
    <w:rsid w:val="003A1C33"/>
    <w:rsid w:val="003A5086"/>
    <w:rsid w:val="003A5C5C"/>
    <w:rsid w:val="003A5CEF"/>
    <w:rsid w:val="003B1947"/>
    <w:rsid w:val="003B35D1"/>
    <w:rsid w:val="003B5830"/>
    <w:rsid w:val="003C111B"/>
    <w:rsid w:val="003C291F"/>
    <w:rsid w:val="003C74E4"/>
    <w:rsid w:val="003D0530"/>
    <w:rsid w:val="003D170F"/>
    <w:rsid w:val="003D1CF0"/>
    <w:rsid w:val="003D380B"/>
    <w:rsid w:val="003D398C"/>
    <w:rsid w:val="003D57B6"/>
    <w:rsid w:val="003D6623"/>
    <w:rsid w:val="003D6C4E"/>
    <w:rsid w:val="003E0739"/>
    <w:rsid w:val="003E1CA9"/>
    <w:rsid w:val="003E70A9"/>
    <w:rsid w:val="003E72EC"/>
    <w:rsid w:val="003E7EED"/>
    <w:rsid w:val="003F1A77"/>
    <w:rsid w:val="003F1E43"/>
    <w:rsid w:val="003F77E8"/>
    <w:rsid w:val="004022BC"/>
    <w:rsid w:val="004022FE"/>
    <w:rsid w:val="0040373B"/>
    <w:rsid w:val="00406E57"/>
    <w:rsid w:val="00406EF6"/>
    <w:rsid w:val="0040710E"/>
    <w:rsid w:val="00410336"/>
    <w:rsid w:val="00411200"/>
    <w:rsid w:val="00414CDD"/>
    <w:rsid w:val="00416678"/>
    <w:rsid w:val="004178FA"/>
    <w:rsid w:val="00422A6E"/>
    <w:rsid w:val="00423142"/>
    <w:rsid w:val="00424E0B"/>
    <w:rsid w:val="00426908"/>
    <w:rsid w:val="00427B0F"/>
    <w:rsid w:val="00432795"/>
    <w:rsid w:val="00434B6A"/>
    <w:rsid w:val="00443630"/>
    <w:rsid w:val="00447A09"/>
    <w:rsid w:val="004567A7"/>
    <w:rsid w:val="0047152E"/>
    <w:rsid w:val="004735FF"/>
    <w:rsid w:val="00475734"/>
    <w:rsid w:val="00476006"/>
    <w:rsid w:val="00480766"/>
    <w:rsid w:val="00481203"/>
    <w:rsid w:val="0048229C"/>
    <w:rsid w:val="0048242A"/>
    <w:rsid w:val="00484A00"/>
    <w:rsid w:val="004874F1"/>
    <w:rsid w:val="00491959"/>
    <w:rsid w:val="004923E8"/>
    <w:rsid w:val="00493AD4"/>
    <w:rsid w:val="004A0960"/>
    <w:rsid w:val="004A240F"/>
    <w:rsid w:val="004A4163"/>
    <w:rsid w:val="004A56D1"/>
    <w:rsid w:val="004A68F9"/>
    <w:rsid w:val="004A740F"/>
    <w:rsid w:val="004B0D6B"/>
    <w:rsid w:val="004B3128"/>
    <w:rsid w:val="004B47FB"/>
    <w:rsid w:val="004B53A2"/>
    <w:rsid w:val="004B6B0A"/>
    <w:rsid w:val="004B7469"/>
    <w:rsid w:val="004C5167"/>
    <w:rsid w:val="004C51DF"/>
    <w:rsid w:val="004C5AF4"/>
    <w:rsid w:val="004C7267"/>
    <w:rsid w:val="004D0B70"/>
    <w:rsid w:val="004D11FC"/>
    <w:rsid w:val="004D19FF"/>
    <w:rsid w:val="004D2591"/>
    <w:rsid w:val="004D4046"/>
    <w:rsid w:val="004D6E30"/>
    <w:rsid w:val="004D73E0"/>
    <w:rsid w:val="004E2679"/>
    <w:rsid w:val="004E33EF"/>
    <w:rsid w:val="004E5F1C"/>
    <w:rsid w:val="004F14E2"/>
    <w:rsid w:val="004F19A2"/>
    <w:rsid w:val="004F2E5C"/>
    <w:rsid w:val="004F38F7"/>
    <w:rsid w:val="005017F5"/>
    <w:rsid w:val="005028A9"/>
    <w:rsid w:val="005030B7"/>
    <w:rsid w:val="005033FF"/>
    <w:rsid w:val="00507F65"/>
    <w:rsid w:val="0051085F"/>
    <w:rsid w:val="00511AEF"/>
    <w:rsid w:val="00511C22"/>
    <w:rsid w:val="00511E73"/>
    <w:rsid w:val="005121B5"/>
    <w:rsid w:val="00516266"/>
    <w:rsid w:val="00516856"/>
    <w:rsid w:val="005227A9"/>
    <w:rsid w:val="00526ED5"/>
    <w:rsid w:val="005275AB"/>
    <w:rsid w:val="00527E51"/>
    <w:rsid w:val="00530489"/>
    <w:rsid w:val="00531004"/>
    <w:rsid w:val="005337AC"/>
    <w:rsid w:val="00535564"/>
    <w:rsid w:val="005421BD"/>
    <w:rsid w:val="00547085"/>
    <w:rsid w:val="0054770A"/>
    <w:rsid w:val="005501BE"/>
    <w:rsid w:val="00551D26"/>
    <w:rsid w:val="005533BC"/>
    <w:rsid w:val="00555E75"/>
    <w:rsid w:val="00556FD1"/>
    <w:rsid w:val="00557961"/>
    <w:rsid w:val="00557A59"/>
    <w:rsid w:val="005601C2"/>
    <w:rsid w:val="00565389"/>
    <w:rsid w:val="005657EA"/>
    <w:rsid w:val="00566B6B"/>
    <w:rsid w:val="00566E07"/>
    <w:rsid w:val="00567269"/>
    <w:rsid w:val="00570084"/>
    <w:rsid w:val="00572426"/>
    <w:rsid w:val="00575A21"/>
    <w:rsid w:val="005771D8"/>
    <w:rsid w:val="00585FD3"/>
    <w:rsid w:val="00587681"/>
    <w:rsid w:val="00591D56"/>
    <w:rsid w:val="005927EC"/>
    <w:rsid w:val="00594D85"/>
    <w:rsid w:val="00597391"/>
    <w:rsid w:val="00597A7B"/>
    <w:rsid w:val="005A05CC"/>
    <w:rsid w:val="005A14A8"/>
    <w:rsid w:val="005A2383"/>
    <w:rsid w:val="005A5774"/>
    <w:rsid w:val="005A6348"/>
    <w:rsid w:val="005A793B"/>
    <w:rsid w:val="005C072F"/>
    <w:rsid w:val="005C0A7F"/>
    <w:rsid w:val="005C378E"/>
    <w:rsid w:val="005C5030"/>
    <w:rsid w:val="005C5758"/>
    <w:rsid w:val="005C6B3F"/>
    <w:rsid w:val="005C762D"/>
    <w:rsid w:val="005D271C"/>
    <w:rsid w:val="005D4B01"/>
    <w:rsid w:val="005D51AF"/>
    <w:rsid w:val="005D5B54"/>
    <w:rsid w:val="005D5DDD"/>
    <w:rsid w:val="005D6E9E"/>
    <w:rsid w:val="005D7BEB"/>
    <w:rsid w:val="005E1A6A"/>
    <w:rsid w:val="005E29EE"/>
    <w:rsid w:val="005E57E1"/>
    <w:rsid w:val="005E61BB"/>
    <w:rsid w:val="005E6C57"/>
    <w:rsid w:val="005E6FF3"/>
    <w:rsid w:val="005E7100"/>
    <w:rsid w:val="005F0C10"/>
    <w:rsid w:val="005F6B98"/>
    <w:rsid w:val="005F7DBA"/>
    <w:rsid w:val="006015F7"/>
    <w:rsid w:val="00602883"/>
    <w:rsid w:val="00602FB6"/>
    <w:rsid w:val="006043D2"/>
    <w:rsid w:val="00604B79"/>
    <w:rsid w:val="00605986"/>
    <w:rsid w:val="006059E6"/>
    <w:rsid w:val="0060611C"/>
    <w:rsid w:val="0060631E"/>
    <w:rsid w:val="006067F8"/>
    <w:rsid w:val="00610048"/>
    <w:rsid w:val="00611115"/>
    <w:rsid w:val="00611D2B"/>
    <w:rsid w:val="006143A2"/>
    <w:rsid w:val="006169B9"/>
    <w:rsid w:val="00616BD5"/>
    <w:rsid w:val="00620A4C"/>
    <w:rsid w:val="006219A5"/>
    <w:rsid w:val="006241B7"/>
    <w:rsid w:val="00625B69"/>
    <w:rsid w:val="00627A44"/>
    <w:rsid w:val="00627B4C"/>
    <w:rsid w:val="00627DD8"/>
    <w:rsid w:val="00634814"/>
    <w:rsid w:val="00636BC8"/>
    <w:rsid w:val="006434DE"/>
    <w:rsid w:val="00643FED"/>
    <w:rsid w:val="00644746"/>
    <w:rsid w:val="00644F31"/>
    <w:rsid w:val="00646788"/>
    <w:rsid w:val="00647232"/>
    <w:rsid w:val="00650C8E"/>
    <w:rsid w:val="006524DB"/>
    <w:rsid w:val="00652D41"/>
    <w:rsid w:val="00654529"/>
    <w:rsid w:val="00654E94"/>
    <w:rsid w:val="006603CF"/>
    <w:rsid w:val="00661DDD"/>
    <w:rsid w:val="0066209A"/>
    <w:rsid w:val="00662F5C"/>
    <w:rsid w:val="00663431"/>
    <w:rsid w:val="00663C3A"/>
    <w:rsid w:val="006643FB"/>
    <w:rsid w:val="0066706C"/>
    <w:rsid w:val="0067139E"/>
    <w:rsid w:val="00673394"/>
    <w:rsid w:val="0067419E"/>
    <w:rsid w:val="00674738"/>
    <w:rsid w:val="00674E38"/>
    <w:rsid w:val="00676779"/>
    <w:rsid w:val="006767EB"/>
    <w:rsid w:val="006768C3"/>
    <w:rsid w:val="0067758A"/>
    <w:rsid w:val="00682149"/>
    <w:rsid w:val="00686CEB"/>
    <w:rsid w:val="00687076"/>
    <w:rsid w:val="00687CA2"/>
    <w:rsid w:val="00687F98"/>
    <w:rsid w:val="00692F41"/>
    <w:rsid w:val="006936E4"/>
    <w:rsid w:val="00697E2F"/>
    <w:rsid w:val="006A0483"/>
    <w:rsid w:val="006A0ED0"/>
    <w:rsid w:val="006A2F4E"/>
    <w:rsid w:val="006A55A4"/>
    <w:rsid w:val="006A561F"/>
    <w:rsid w:val="006A5A44"/>
    <w:rsid w:val="006A646D"/>
    <w:rsid w:val="006A7B55"/>
    <w:rsid w:val="006B59F0"/>
    <w:rsid w:val="006B6E36"/>
    <w:rsid w:val="006B6F3C"/>
    <w:rsid w:val="006C1DE0"/>
    <w:rsid w:val="006C30D2"/>
    <w:rsid w:val="006C3757"/>
    <w:rsid w:val="006C4D16"/>
    <w:rsid w:val="006C6BE1"/>
    <w:rsid w:val="006C7BAC"/>
    <w:rsid w:val="006D0E3B"/>
    <w:rsid w:val="006D20B3"/>
    <w:rsid w:val="006D5EC7"/>
    <w:rsid w:val="006D6EE3"/>
    <w:rsid w:val="006D71F1"/>
    <w:rsid w:val="006E0765"/>
    <w:rsid w:val="006E242A"/>
    <w:rsid w:val="006E3FA4"/>
    <w:rsid w:val="006E52AB"/>
    <w:rsid w:val="006E723B"/>
    <w:rsid w:val="006F0382"/>
    <w:rsid w:val="006F0670"/>
    <w:rsid w:val="006F1A34"/>
    <w:rsid w:val="006F316D"/>
    <w:rsid w:val="006F3822"/>
    <w:rsid w:val="006F3E34"/>
    <w:rsid w:val="006F514D"/>
    <w:rsid w:val="00700CF5"/>
    <w:rsid w:val="00702151"/>
    <w:rsid w:val="007026EF"/>
    <w:rsid w:val="00705974"/>
    <w:rsid w:val="007070D0"/>
    <w:rsid w:val="00707395"/>
    <w:rsid w:val="0071044A"/>
    <w:rsid w:val="0071118A"/>
    <w:rsid w:val="00711645"/>
    <w:rsid w:val="0071169F"/>
    <w:rsid w:val="00717DAE"/>
    <w:rsid w:val="00720E7D"/>
    <w:rsid w:val="0072190B"/>
    <w:rsid w:val="007225F3"/>
    <w:rsid w:val="00723641"/>
    <w:rsid w:val="007267F0"/>
    <w:rsid w:val="00726F75"/>
    <w:rsid w:val="007270A7"/>
    <w:rsid w:val="00730A4C"/>
    <w:rsid w:val="00731B1A"/>
    <w:rsid w:val="00732151"/>
    <w:rsid w:val="007321ED"/>
    <w:rsid w:val="007341B8"/>
    <w:rsid w:val="007400CF"/>
    <w:rsid w:val="00741B74"/>
    <w:rsid w:val="007427D9"/>
    <w:rsid w:val="00746966"/>
    <w:rsid w:val="00753006"/>
    <w:rsid w:val="0075390E"/>
    <w:rsid w:val="00754172"/>
    <w:rsid w:val="00754306"/>
    <w:rsid w:val="00754B95"/>
    <w:rsid w:val="007552E3"/>
    <w:rsid w:val="007555C1"/>
    <w:rsid w:val="00761B06"/>
    <w:rsid w:val="007639ED"/>
    <w:rsid w:val="0076442C"/>
    <w:rsid w:val="00764518"/>
    <w:rsid w:val="00770FD8"/>
    <w:rsid w:val="00776D0F"/>
    <w:rsid w:val="00777680"/>
    <w:rsid w:val="00777D5D"/>
    <w:rsid w:val="007807D6"/>
    <w:rsid w:val="007810BE"/>
    <w:rsid w:val="007815EB"/>
    <w:rsid w:val="00782677"/>
    <w:rsid w:val="0078537B"/>
    <w:rsid w:val="00786021"/>
    <w:rsid w:val="00787ECA"/>
    <w:rsid w:val="00787FEE"/>
    <w:rsid w:val="00790C2A"/>
    <w:rsid w:val="00791646"/>
    <w:rsid w:val="00793546"/>
    <w:rsid w:val="00794332"/>
    <w:rsid w:val="0079621E"/>
    <w:rsid w:val="007A1DB7"/>
    <w:rsid w:val="007A2E8B"/>
    <w:rsid w:val="007A4355"/>
    <w:rsid w:val="007A4AD2"/>
    <w:rsid w:val="007A56EC"/>
    <w:rsid w:val="007A6E92"/>
    <w:rsid w:val="007A71C6"/>
    <w:rsid w:val="007B2280"/>
    <w:rsid w:val="007B3BA5"/>
    <w:rsid w:val="007B4280"/>
    <w:rsid w:val="007B551E"/>
    <w:rsid w:val="007B5B3A"/>
    <w:rsid w:val="007B6D6B"/>
    <w:rsid w:val="007C183B"/>
    <w:rsid w:val="007C52B2"/>
    <w:rsid w:val="007C618C"/>
    <w:rsid w:val="007D19F1"/>
    <w:rsid w:val="007D350E"/>
    <w:rsid w:val="007D494C"/>
    <w:rsid w:val="007D4D89"/>
    <w:rsid w:val="007D4DAD"/>
    <w:rsid w:val="007D6916"/>
    <w:rsid w:val="007D720F"/>
    <w:rsid w:val="007D7C77"/>
    <w:rsid w:val="007E4D1F"/>
    <w:rsid w:val="007E5164"/>
    <w:rsid w:val="007E62B3"/>
    <w:rsid w:val="007F0E6A"/>
    <w:rsid w:val="007F54B5"/>
    <w:rsid w:val="007F7101"/>
    <w:rsid w:val="00800040"/>
    <w:rsid w:val="008016ED"/>
    <w:rsid w:val="00802133"/>
    <w:rsid w:val="00806386"/>
    <w:rsid w:val="00806AD8"/>
    <w:rsid w:val="00815277"/>
    <w:rsid w:val="00815CBD"/>
    <w:rsid w:val="00817D8E"/>
    <w:rsid w:val="00821FE8"/>
    <w:rsid w:val="008251DE"/>
    <w:rsid w:val="00830046"/>
    <w:rsid w:val="00833E71"/>
    <w:rsid w:val="00835453"/>
    <w:rsid w:val="00835E02"/>
    <w:rsid w:val="00836241"/>
    <w:rsid w:val="008364B0"/>
    <w:rsid w:val="00837939"/>
    <w:rsid w:val="0084449E"/>
    <w:rsid w:val="00846ACC"/>
    <w:rsid w:val="0084743E"/>
    <w:rsid w:val="0085061A"/>
    <w:rsid w:val="00852BDD"/>
    <w:rsid w:val="00853B1A"/>
    <w:rsid w:val="00855157"/>
    <w:rsid w:val="00857493"/>
    <w:rsid w:val="00857D5B"/>
    <w:rsid w:val="00857EFB"/>
    <w:rsid w:val="0086021C"/>
    <w:rsid w:val="00860267"/>
    <w:rsid w:val="00862490"/>
    <w:rsid w:val="00863229"/>
    <w:rsid w:val="008634FE"/>
    <w:rsid w:val="00865179"/>
    <w:rsid w:val="0086636B"/>
    <w:rsid w:val="008669F9"/>
    <w:rsid w:val="008673B6"/>
    <w:rsid w:val="008718BE"/>
    <w:rsid w:val="00872FFF"/>
    <w:rsid w:val="008732F1"/>
    <w:rsid w:val="00876C21"/>
    <w:rsid w:val="008807FB"/>
    <w:rsid w:val="008833F1"/>
    <w:rsid w:val="00884A98"/>
    <w:rsid w:val="008851EC"/>
    <w:rsid w:val="008871D1"/>
    <w:rsid w:val="00887CD9"/>
    <w:rsid w:val="00893869"/>
    <w:rsid w:val="00894A84"/>
    <w:rsid w:val="00896394"/>
    <w:rsid w:val="00896547"/>
    <w:rsid w:val="0089764D"/>
    <w:rsid w:val="008A4FBE"/>
    <w:rsid w:val="008B5B04"/>
    <w:rsid w:val="008B665A"/>
    <w:rsid w:val="008B7DC6"/>
    <w:rsid w:val="008C011B"/>
    <w:rsid w:val="008C0762"/>
    <w:rsid w:val="008C07AB"/>
    <w:rsid w:val="008C0AC4"/>
    <w:rsid w:val="008C2310"/>
    <w:rsid w:val="008C55F8"/>
    <w:rsid w:val="008D04B8"/>
    <w:rsid w:val="008D3BA8"/>
    <w:rsid w:val="008D4523"/>
    <w:rsid w:val="008D56A2"/>
    <w:rsid w:val="008D5B07"/>
    <w:rsid w:val="008D7523"/>
    <w:rsid w:val="008D7603"/>
    <w:rsid w:val="008E1D8F"/>
    <w:rsid w:val="008E2A6B"/>
    <w:rsid w:val="008E5BB3"/>
    <w:rsid w:val="008E7491"/>
    <w:rsid w:val="008E7981"/>
    <w:rsid w:val="008F025F"/>
    <w:rsid w:val="008F1D74"/>
    <w:rsid w:val="008F5D0C"/>
    <w:rsid w:val="009008A8"/>
    <w:rsid w:val="00904F3E"/>
    <w:rsid w:val="00905725"/>
    <w:rsid w:val="0090618B"/>
    <w:rsid w:val="00906A21"/>
    <w:rsid w:val="0091354B"/>
    <w:rsid w:val="0091533E"/>
    <w:rsid w:val="00920774"/>
    <w:rsid w:val="00921EC0"/>
    <w:rsid w:val="00922F4F"/>
    <w:rsid w:val="00923863"/>
    <w:rsid w:val="00925B71"/>
    <w:rsid w:val="009263F5"/>
    <w:rsid w:val="00932AC1"/>
    <w:rsid w:val="00933A78"/>
    <w:rsid w:val="0093417D"/>
    <w:rsid w:val="0093427D"/>
    <w:rsid w:val="00935B5E"/>
    <w:rsid w:val="00944F7E"/>
    <w:rsid w:val="009450F7"/>
    <w:rsid w:val="00945C42"/>
    <w:rsid w:val="00950193"/>
    <w:rsid w:val="009540DF"/>
    <w:rsid w:val="00954F41"/>
    <w:rsid w:val="00955E79"/>
    <w:rsid w:val="00956D32"/>
    <w:rsid w:val="00960C5E"/>
    <w:rsid w:val="00961B97"/>
    <w:rsid w:val="00962029"/>
    <w:rsid w:val="00962C4D"/>
    <w:rsid w:val="0096416B"/>
    <w:rsid w:val="00966333"/>
    <w:rsid w:val="00970838"/>
    <w:rsid w:val="00972473"/>
    <w:rsid w:val="009727C4"/>
    <w:rsid w:val="009746E3"/>
    <w:rsid w:val="00974D7B"/>
    <w:rsid w:val="009771AC"/>
    <w:rsid w:val="00982974"/>
    <w:rsid w:val="009848C3"/>
    <w:rsid w:val="00990834"/>
    <w:rsid w:val="00991007"/>
    <w:rsid w:val="009916E0"/>
    <w:rsid w:val="00993CAC"/>
    <w:rsid w:val="00995FAA"/>
    <w:rsid w:val="00997736"/>
    <w:rsid w:val="00997C1E"/>
    <w:rsid w:val="009A18BB"/>
    <w:rsid w:val="009A27D7"/>
    <w:rsid w:val="009A3569"/>
    <w:rsid w:val="009A4356"/>
    <w:rsid w:val="009A6F53"/>
    <w:rsid w:val="009A7279"/>
    <w:rsid w:val="009B124E"/>
    <w:rsid w:val="009B4EB5"/>
    <w:rsid w:val="009B6BE8"/>
    <w:rsid w:val="009C16EE"/>
    <w:rsid w:val="009C353D"/>
    <w:rsid w:val="009C74F9"/>
    <w:rsid w:val="009D1044"/>
    <w:rsid w:val="009D3363"/>
    <w:rsid w:val="009D3B64"/>
    <w:rsid w:val="009D6578"/>
    <w:rsid w:val="009E03E2"/>
    <w:rsid w:val="009E58A8"/>
    <w:rsid w:val="009F3BAB"/>
    <w:rsid w:val="009F5227"/>
    <w:rsid w:val="009F787B"/>
    <w:rsid w:val="00A0056D"/>
    <w:rsid w:val="00A01B93"/>
    <w:rsid w:val="00A02B5F"/>
    <w:rsid w:val="00A0488B"/>
    <w:rsid w:val="00A05026"/>
    <w:rsid w:val="00A0539A"/>
    <w:rsid w:val="00A0589B"/>
    <w:rsid w:val="00A072A0"/>
    <w:rsid w:val="00A07BFD"/>
    <w:rsid w:val="00A07D12"/>
    <w:rsid w:val="00A11425"/>
    <w:rsid w:val="00A133A3"/>
    <w:rsid w:val="00A147A8"/>
    <w:rsid w:val="00A1633A"/>
    <w:rsid w:val="00A16E14"/>
    <w:rsid w:val="00A20660"/>
    <w:rsid w:val="00A221DD"/>
    <w:rsid w:val="00A22B18"/>
    <w:rsid w:val="00A237B1"/>
    <w:rsid w:val="00A23CC9"/>
    <w:rsid w:val="00A24FE8"/>
    <w:rsid w:val="00A27D71"/>
    <w:rsid w:val="00A34912"/>
    <w:rsid w:val="00A35106"/>
    <w:rsid w:val="00A36548"/>
    <w:rsid w:val="00A402A5"/>
    <w:rsid w:val="00A41F7E"/>
    <w:rsid w:val="00A42874"/>
    <w:rsid w:val="00A438D9"/>
    <w:rsid w:val="00A43BCA"/>
    <w:rsid w:val="00A43BCF"/>
    <w:rsid w:val="00A454D5"/>
    <w:rsid w:val="00A46251"/>
    <w:rsid w:val="00A47826"/>
    <w:rsid w:val="00A501A7"/>
    <w:rsid w:val="00A504A6"/>
    <w:rsid w:val="00A521E1"/>
    <w:rsid w:val="00A53BEB"/>
    <w:rsid w:val="00A54484"/>
    <w:rsid w:val="00A54A5E"/>
    <w:rsid w:val="00A57172"/>
    <w:rsid w:val="00A614A0"/>
    <w:rsid w:val="00A61611"/>
    <w:rsid w:val="00A64292"/>
    <w:rsid w:val="00A642E3"/>
    <w:rsid w:val="00A64667"/>
    <w:rsid w:val="00A64769"/>
    <w:rsid w:val="00A70367"/>
    <w:rsid w:val="00A7259A"/>
    <w:rsid w:val="00A73FB2"/>
    <w:rsid w:val="00A75C5C"/>
    <w:rsid w:val="00A7609B"/>
    <w:rsid w:val="00A7661B"/>
    <w:rsid w:val="00A766E6"/>
    <w:rsid w:val="00A77A5E"/>
    <w:rsid w:val="00A77B57"/>
    <w:rsid w:val="00A8098C"/>
    <w:rsid w:val="00A82D5D"/>
    <w:rsid w:val="00A835A2"/>
    <w:rsid w:val="00A83A38"/>
    <w:rsid w:val="00A85724"/>
    <w:rsid w:val="00A8625F"/>
    <w:rsid w:val="00A864A0"/>
    <w:rsid w:val="00A91794"/>
    <w:rsid w:val="00A94E62"/>
    <w:rsid w:val="00A95658"/>
    <w:rsid w:val="00A95BEA"/>
    <w:rsid w:val="00A97479"/>
    <w:rsid w:val="00A97C90"/>
    <w:rsid w:val="00AA22B9"/>
    <w:rsid w:val="00AA2BA5"/>
    <w:rsid w:val="00AA2C69"/>
    <w:rsid w:val="00AA34AF"/>
    <w:rsid w:val="00AA723C"/>
    <w:rsid w:val="00AB053A"/>
    <w:rsid w:val="00AB0B47"/>
    <w:rsid w:val="00AB32F0"/>
    <w:rsid w:val="00AB5199"/>
    <w:rsid w:val="00AB74E1"/>
    <w:rsid w:val="00AC31AF"/>
    <w:rsid w:val="00AC4028"/>
    <w:rsid w:val="00AC53A3"/>
    <w:rsid w:val="00AC560C"/>
    <w:rsid w:val="00AC7052"/>
    <w:rsid w:val="00AC7100"/>
    <w:rsid w:val="00AD2752"/>
    <w:rsid w:val="00AD2BEE"/>
    <w:rsid w:val="00AE120F"/>
    <w:rsid w:val="00AE202A"/>
    <w:rsid w:val="00AE3963"/>
    <w:rsid w:val="00AE4050"/>
    <w:rsid w:val="00AE4D27"/>
    <w:rsid w:val="00AE5342"/>
    <w:rsid w:val="00AE63E4"/>
    <w:rsid w:val="00AE75C1"/>
    <w:rsid w:val="00AE7C86"/>
    <w:rsid w:val="00AE7FA3"/>
    <w:rsid w:val="00AF13D5"/>
    <w:rsid w:val="00AF3390"/>
    <w:rsid w:val="00AF3561"/>
    <w:rsid w:val="00AF3DAD"/>
    <w:rsid w:val="00AF3E4B"/>
    <w:rsid w:val="00B007AE"/>
    <w:rsid w:val="00B014AF"/>
    <w:rsid w:val="00B01EAF"/>
    <w:rsid w:val="00B03FBD"/>
    <w:rsid w:val="00B04245"/>
    <w:rsid w:val="00B0452B"/>
    <w:rsid w:val="00B058DD"/>
    <w:rsid w:val="00B05DA0"/>
    <w:rsid w:val="00B07B76"/>
    <w:rsid w:val="00B12C26"/>
    <w:rsid w:val="00B12EE0"/>
    <w:rsid w:val="00B13672"/>
    <w:rsid w:val="00B1464F"/>
    <w:rsid w:val="00B164A6"/>
    <w:rsid w:val="00B255CB"/>
    <w:rsid w:val="00B26F18"/>
    <w:rsid w:val="00B27A65"/>
    <w:rsid w:val="00B30BFF"/>
    <w:rsid w:val="00B33E5B"/>
    <w:rsid w:val="00B41A58"/>
    <w:rsid w:val="00B41AF6"/>
    <w:rsid w:val="00B50551"/>
    <w:rsid w:val="00B5232B"/>
    <w:rsid w:val="00B525B2"/>
    <w:rsid w:val="00B543EE"/>
    <w:rsid w:val="00B54ADE"/>
    <w:rsid w:val="00B559BE"/>
    <w:rsid w:val="00B6059F"/>
    <w:rsid w:val="00B6097A"/>
    <w:rsid w:val="00B61BFC"/>
    <w:rsid w:val="00B626AE"/>
    <w:rsid w:val="00B63707"/>
    <w:rsid w:val="00B70C91"/>
    <w:rsid w:val="00B71283"/>
    <w:rsid w:val="00B71D59"/>
    <w:rsid w:val="00B72E89"/>
    <w:rsid w:val="00B73487"/>
    <w:rsid w:val="00B73745"/>
    <w:rsid w:val="00B75DE9"/>
    <w:rsid w:val="00B75FA2"/>
    <w:rsid w:val="00B76E55"/>
    <w:rsid w:val="00B835A3"/>
    <w:rsid w:val="00B87469"/>
    <w:rsid w:val="00B87502"/>
    <w:rsid w:val="00B876B9"/>
    <w:rsid w:val="00B87A41"/>
    <w:rsid w:val="00B908BC"/>
    <w:rsid w:val="00B91BEE"/>
    <w:rsid w:val="00B93DC6"/>
    <w:rsid w:val="00B95695"/>
    <w:rsid w:val="00B95936"/>
    <w:rsid w:val="00B96832"/>
    <w:rsid w:val="00BA155C"/>
    <w:rsid w:val="00BA208A"/>
    <w:rsid w:val="00BA40B5"/>
    <w:rsid w:val="00BA59B3"/>
    <w:rsid w:val="00BB0135"/>
    <w:rsid w:val="00BB064E"/>
    <w:rsid w:val="00BB0A12"/>
    <w:rsid w:val="00BB5625"/>
    <w:rsid w:val="00BC6B62"/>
    <w:rsid w:val="00BC7C52"/>
    <w:rsid w:val="00BD0556"/>
    <w:rsid w:val="00BD39A5"/>
    <w:rsid w:val="00BD4A1E"/>
    <w:rsid w:val="00BD51B2"/>
    <w:rsid w:val="00BD6183"/>
    <w:rsid w:val="00BE140A"/>
    <w:rsid w:val="00BE1E20"/>
    <w:rsid w:val="00BE2CDA"/>
    <w:rsid w:val="00BE3E0C"/>
    <w:rsid w:val="00BE6BD1"/>
    <w:rsid w:val="00BF3980"/>
    <w:rsid w:val="00BF3C31"/>
    <w:rsid w:val="00BF5759"/>
    <w:rsid w:val="00BF7FCC"/>
    <w:rsid w:val="00C01FA5"/>
    <w:rsid w:val="00C10D43"/>
    <w:rsid w:val="00C11974"/>
    <w:rsid w:val="00C13240"/>
    <w:rsid w:val="00C13E28"/>
    <w:rsid w:val="00C1579A"/>
    <w:rsid w:val="00C16759"/>
    <w:rsid w:val="00C2193D"/>
    <w:rsid w:val="00C23505"/>
    <w:rsid w:val="00C24850"/>
    <w:rsid w:val="00C25B73"/>
    <w:rsid w:val="00C30551"/>
    <w:rsid w:val="00C34318"/>
    <w:rsid w:val="00C34FCD"/>
    <w:rsid w:val="00C42949"/>
    <w:rsid w:val="00C42FCE"/>
    <w:rsid w:val="00C443B5"/>
    <w:rsid w:val="00C46180"/>
    <w:rsid w:val="00C47B04"/>
    <w:rsid w:val="00C47F57"/>
    <w:rsid w:val="00C519B3"/>
    <w:rsid w:val="00C536F1"/>
    <w:rsid w:val="00C55634"/>
    <w:rsid w:val="00C55D5B"/>
    <w:rsid w:val="00C573B2"/>
    <w:rsid w:val="00C66AEB"/>
    <w:rsid w:val="00C66B3D"/>
    <w:rsid w:val="00C67713"/>
    <w:rsid w:val="00C7139C"/>
    <w:rsid w:val="00C73D8B"/>
    <w:rsid w:val="00C73E6F"/>
    <w:rsid w:val="00C742B5"/>
    <w:rsid w:val="00C760A3"/>
    <w:rsid w:val="00C77A52"/>
    <w:rsid w:val="00C80DB0"/>
    <w:rsid w:val="00C8619C"/>
    <w:rsid w:val="00C87CEB"/>
    <w:rsid w:val="00C9001D"/>
    <w:rsid w:val="00C921E5"/>
    <w:rsid w:val="00C9254E"/>
    <w:rsid w:val="00C9663E"/>
    <w:rsid w:val="00CA219D"/>
    <w:rsid w:val="00CA3243"/>
    <w:rsid w:val="00CA3F67"/>
    <w:rsid w:val="00CA4352"/>
    <w:rsid w:val="00CB086F"/>
    <w:rsid w:val="00CB0ECE"/>
    <w:rsid w:val="00CB38CF"/>
    <w:rsid w:val="00CC0591"/>
    <w:rsid w:val="00CC13FA"/>
    <w:rsid w:val="00CC2768"/>
    <w:rsid w:val="00CC2F7C"/>
    <w:rsid w:val="00CC36E6"/>
    <w:rsid w:val="00CC4564"/>
    <w:rsid w:val="00CC5259"/>
    <w:rsid w:val="00CC53F8"/>
    <w:rsid w:val="00CD0CE4"/>
    <w:rsid w:val="00CD1C84"/>
    <w:rsid w:val="00CD28EB"/>
    <w:rsid w:val="00CD477C"/>
    <w:rsid w:val="00CF09F5"/>
    <w:rsid w:val="00CF12C5"/>
    <w:rsid w:val="00CF301A"/>
    <w:rsid w:val="00CF5D9C"/>
    <w:rsid w:val="00CF6C60"/>
    <w:rsid w:val="00D01347"/>
    <w:rsid w:val="00D01387"/>
    <w:rsid w:val="00D01AB3"/>
    <w:rsid w:val="00D02547"/>
    <w:rsid w:val="00D076A5"/>
    <w:rsid w:val="00D0796A"/>
    <w:rsid w:val="00D11A7A"/>
    <w:rsid w:val="00D13F7F"/>
    <w:rsid w:val="00D1430D"/>
    <w:rsid w:val="00D15014"/>
    <w:rsid w:val="00D15BBA"/>
    <w:rsid w:val="00D16C63"/>
    <w:rsid w:val="00D17358"/>
    <w:rsid w:val="00D200BF"/>
    <w:rsid w:val="00D21E37"/>
    <w:rsid w:val="00D21FA6"/>
    <w:rsid w:val="00D25293"/>
    <w:rsid w:val="00D27405"/>
    <w:rsid w:val="00D278F8"/>
    <w:rsid w:val="00D3179F"/>
    <w:rsid w:val="00D32E13"/>
    <w:rsid w:val="00D35992"/>
    <w:rsid w:val="00D35E1F"/>
    <w:rsid w:val="00D365A6"/>
    <w:rsid w:val="00D37331"/>
    <w:rsid w:val="00D40099"/>
    <w:rsid w:val="00D41113"/>
    <w:rsid w:val="00D45286"/>
    <w:rsid w:val="00D53BBB"/>
    <w:rsid w:val="00D55B92"/>
    <w:rsid w:val="00D575D4"/>
    <w:rsid w:val="00D57FFD"/>
    <w:rsid w:val="00D60A9D"/>
    <w:rsid w:val="00D61ADE"/>
    <w:rsid w:val="00D63CB8"/>
    <w:rsid w:val="00D64394"/>
    <w:rsid w:val="00D64D49"/>
    <w:rsid w:val="00D664A4"/>
    <w:rsid w:val="00D66DEA"/>
    <w:rsid w:val="00D6715B"/>
    <w:rsid w:val="00D70AFF"/>
    <w:rsid w:val="00D7409F"/>
    <w:rsid w:val="00D74F30"/>
    <w:rsid w:val="00D74F40"/>
    <w:rsid w:val="00D768D4"/>
    <w:rsid w:val="00D80A10"/>
    <w:rsid w:val="00D83CBB"/>
    <w:rsid w:val="00D86EA3"/>
    <w:rsid w:val="00D870DE"/>
    <w:rsid w:val="00D87108"/>
    <w:rsid w:val="00D93BD3"/>
    <w:rsid w:val="00D977CA"/>
    <w:rsid w:val="00DA0EBB"/>
    <w:rsid w:val="00DA1E5D"/>
    <w:rsid w:val="00DA2D0D"/>
    <w:rsid w:val="00DA2F7E"/>
    <w:rsid w:val="00DA5DA1"/>
    <w:rsid w:val="00DB5337"/>
    <w:rsid w:val="00DB5CA0"/>
    <w:rsid w:val="00DC0B9E"/>
    <w:rsid w:val="00DC167B"/>
    <w:rsid w:val="00DC1AA9"/>
    <w:rsid w:val="00DC1FB2"/>
    <w:rsid w:val="00DD0472"/>
    <w:rsid w:val="00DD0C95"/>
    <w:rsid w:val="00DD44E7"/>
    <w:rsid w:val="00DD4E44"/>
    <w:rsid w:val="00DD6331"/>
    <w:rsid w:val="00DD6F7F"/>
    <w:rsid w:val="00DE1AB9"/>
    <w:rsid w:val="00DE22D2"/>
    <w:rsid w:val="00DE36AA"/>
    <w:rsid w:val="00DE4FE1"/>
    <w:rsid w:val="00DF0120"/>
    <w:rsid w:val="00DF0A6A"/>
    <w:rsid w:val="00DF1DA9"/>
    <w:rsid w:val="00DF1DEB"/>
    <w:rsid w:val="00DF252D"/>
    <w:rsid w:val="00DF2685"/>
    <w:rsid w:val="00DF4239"/>
    <w:rsid w:val="00DF6029"/>
    <w:rsid w:val="00E00CCD"/>
    <w:rsid w:val="00E023E2"/>
    <w:rsid w:val="00E06A16"/>
    <w:rsid w:val="00E07419"/>
    <w:rsid w:val="00E102BD"/>
    <w:rsid w:val="00E155FE"/>
    <w:rsid w:val="00E1649B"/>
    <w:rsid w:val="00E177B8"/>
    <w:rsid w:val="00E216B0"/>
    <w:rsid w:val="00E23CD4"/>
    <w:rsid w:val="00E25323"/>
    <w:rsid w:val="00E313B8"/>
    <w:rsid w:val="00E31473"/>
    <w:rsid w:val="00E31AA8"/>
    <w:rsid w:val="00E34E69"/>
    <w:rsid w:val="00E34F8C"/>
    <w:rsid w:val="00E354BB"/>
    <w:rsid w:val="00E365CE"/>
    <w:rsid w:val="00E3714A"/>
    <w:rsid w:val="00E37270"/>
    <w:rsid w:val="00E411B1"/>
    <w:rsid w:val="00E41FFB"/>
    <w:rsid w:val="00E434B8"/>
    <w:rsid w:val="00E43AD2"/>
    <w:rsid w:val="00E44BB4"/>
    <w:rsid w:val="00E454F4"/>
    <w:rsid w:val="00E45872"/>
    <w:rsid w:val="00E465CB"/>
    <w:rsid w:val="00E4670F"/>
    <w:rsid w:val="00E46A6A"/>
    <w:rsid w:val="00E5256E"/>
    <w:rsid w:val="00E54146"/>
    <w:rsid w:val="00E562F3"/>
    <w:rsid w:val="00E62734"/>
    <w:rsid w:val="00E64C65"/>
    <w:rsid w:val="00E65993"/>
    <w:rsid w:val="00E66E24"/>
    <w:rsid w:val="00E712F8"/>
    <w:rsid w:val="00E71FCF"/>
    <w:rsid w:val="00E72332"/>
    <w:rsid w:val="00E72B35"/>
    <w:rsid w:val="00E7353C"/>
    <w:rsid w:val="00E756DA"/>
    <w:rsid w:val="00E775A5"/>
    <w:rsid w:val="00E77B79"/>
    <w:rsid w:val="00E80F13"/>
    <w:rsid w:val="00E8156C"/>
    <w:rsid w:val="00E81B96"/>
    <w:rsid w:val="00E83E7C"/>
    <w:rsid w:val="00E8606B"/>
    <w:rsid w:val="00E8624A"/>
    <w:rsid w:val="00E86AEB"/>
    <w:rsid w:val="00E91A45"/>
    <w:rsid w:val="00E92F23"/>
    <w:rsid w:val="00E941BF"/>
    <w:rsid w:val="00EA05E7"/>
    <w:rsid w:val="00EA15AD"/>
    <w:rsid w:val="00EA368E"/>
    <w:rsid w:val="00EB05AD"/>
    <w:rsid w:val="00EB7E51"/>
    <w:rsid w:val="00EC0433"/>
    <w:rsid w:val="00EC28F4"/>
    <w:rsid w:val="00EC3266"/>
    <w:rsid w:val="00EC5431"/>
    <w:rsid w:val="00EC6658"/>
    <w:rsid w:val="00EC6AE2"/>
    <w:rsid w:val="00ED3B6A"/>
    <w:rsid w:val="00ED51D5"/>
    <w:rsid w:val="00EE0160"/>
    <w:rsid w:val="00EE17A7"/>
    <w:rsid w:val="00EE3E1F"/>
    <w:rsid w:val="00EE4267"/>
    <w:rsid w:val="00EE496B"/>
    <w:rsid w:val="00EE7656"/>
    <w:rsid w:val="00EF04BE"/>
    <w:rsid w:val="00EF258B"/>
    <w:rsid w:val="00EF54A9"/>
    <w:rsid w:val="00EF5A2F"/>
    <w:rsid w:val="00F013C3"/>
    <w:rsid w:val="00F058AB"/>
    <w:rsid w:val="00F10A6B"/>
    <w:rsid w:val="00F11716"/>
    <w:rsid w:val="00F146B6"/>
    <w:rsid w:val="00F155F8"/>
    <w:rsid w:val="00F15D62"/>
    <w:rsid w:val="00F1756B"/>
    <w:rsid w:val="00F2494B"/>
    <w:rsid w:val="00F252B2"/>
    <w:rsid w:val="00F27CAF"/>
    <w:rsid w:val="00F3030D"/>
    <w:rsid w:val="00F306CA"/>
    <w:rsid w:val="00F354C6"/>
    <w:rsid w:val="00F37D63"/>
    <w:rsid w:val="00F41978"/>
    <w:rsid w:val="00F42EC4"/>
    <w:rsid w:val="00F441C1"/>
    <w:rsid w:val="00F475CC"/>
    <w:rsid w:val="00F53A23"/>
    <w:rsid w:val="00F5417D"/>
    <w:rsid w:val="00F55F7A"/>
    <w:rsid w:val="00F6592C"/>
    <w:rsid w:val="00F65C17"/>
    <w:rsid w:val="00F66A0B"/>
    <w:rsid w:val="00F704EA"/>
    <w:rsid w:val="00F70DB4"/>
    <w:rsid w:val="00F71AD6"/>
    <w:rsid w:val="00F71B27"/>
    <w:rsid w:val="00F7221F"/>
    <w:rsid w:val="00F73BBF"/>
    <w:rsid w:val="00F75331"/>
    <w:rsid w:val="00F75DB3"/>
    <w:rsid w:val="00F821D0"/>
    <w:rsid w:val="00F830F0"/>
    <w:rsid w:val="00F83120"/>
    <w:rsid w:val="00F83A3B"/>
    <w:rsid w:val="00F84121"/>
    <w:rsid w:val="00F85207"/>
    <w:rsid w:val="00F8535D"/>
    <w:rsid w:val="00F868D9"/>
    <w:rsid w:val="00F869D1"/>
    <w:rsid w:val="00F8780B"/>
    <w:rsid w:val="00F90318"/>
    <w:rsid w:val="00F91358"/>
    <w:rsid w:val="00F9284F"/>
    <w:rsid w:val="00F9437E"/>
    <w:rsid w:val="00F9649A"/>
    <w:rsid w:val="00F96963"/>
    <w:rsid w:val="00F969B5"/>
    <w:rsid w:val="00F96DDD"/>
    <w:rsid w:val="00F97111"/>
    <w:rsid w:val="00FA0FA3"/>
    <w:rsid w:val="00FA3588"/>
    <w:rsid w:val="00FA41AF"/>
    <w:rsid w:val="00FA5A4A"/>
    <w:rsid w:val="00FB1EB6"/>
    <w:rsid w:val="00FB5B20"/>
    <w:rsid w:val="00FB5E22"/>
    <w:rsid w:val="00FB619D"/>
    <w:rsid w:val="00FC03BE"/>
    <w:rsid w:val="00FC053D"/>
    <w:rsid w:val="00FC13C1"/>
    <w:rsid w:val="00FC2997"/>
    <w:rsid w:val="00FC4080"/>
    <w:rsid w:val="00FC4106"/>
    <w:rsid w:val="00FC489A"/>
    <w:rsid w:val="00FC6DEF"/>
    <w:rsid w:val="00FC757A"/>
    <w:rsid w:val="00FD0BAC"/>
    <w:rsid w:val="00FD19EE"/>
    <w:rsid w:val="00FD2604"/>
    <w:rsid w:val="00FD735A"/>
    <w:rsid w:val="00FD7AE9"/>
    <w:rsid w:val="00FE0867"/>
    <w:rsid w:val="00FE34A2"/>
    <w:rsid w:val="00FE5D2C"/>
    <w:rsid w:val="00FE63B7"/>
    <w:rsid w:val="00FF00CB"/>
    <w:rsid w:val="00FF041D"/>
    <w:rsid w:val="00FF236B"/>
    <w:rsid w:val="00FF4442"/>
    <w:rsid w:val="00FF4548"/>
    <w:rsid w:val="00FF4A97"/>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EA90114D-74A6-41BC-BB56-A084DFE4C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3102B"/>
    <w:pPr>
      <w:widowControl w:val="0"/>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paragraph" w:styleId="Sarakstarindkopa">
    <w:name w:val="List Paragraph"/>
    <w:aliases w:val="H&amp;P List Paragraph,List Paragraph1,Syle 1"/>
    <w:basedOn w:val="Parasts"/>
    <w:link w:val="SarakstarindkopaRakstz"/>
    <w:uiPriority w:val="34"/>
    <w:qFormat/>
    <w:rsid w:val="001D6D4C"/>
    <w:pPr>
      <w:ind w:left="720"/>
      <w:contextualSpacing/>
    </w:pPr>
  </w:style>
  <w:style w:type="paragraph" w:styleId="Vresteksts">
    <w:name w:val="footnote text"/>
    <w:aliases w:val="stile 1,Fußnote,Char Char Char,Footnote Text1,Footnote Text1 Char"/>
    <w:basedOn w:val="Parasts"/>
    <w:link w:val="VrestekstsRakstz"/>
    <w:uiPriority w:val="99"/>
    <w:unhideWhenUsed/>
    <w:rsid w:val="003F77E8"/>
    <w:pPr>
      <w:spacing w:after="0" w:line="240" w:lineRule="auto"/>
    </w:pPr>
    <w:rPr>
      <w:sz w:val="20"/>
      <w:szCs w:val="20"/>
    </w:rPr>
  </w:style>
  <w:style w:type="character" w:customStyle="1" w:styleId="VrestekstsRakstz">
    <w:name w:val="Vēres teksts Rakstz."/>
    <w:aliases w:val="stile 1 Rakstz.,Fußnote Rakstz.,Char Char Char Rakstz.,Footnote Text1 Rakstz.,Footnote Text1 Char Rakstz."/>
    <w:basedOn w:val="Noklusjumarindkopasfonts"/>
    <w:link w:val="Vresteksts"/>
    <w:uiPriority w:val="99"/>
    <w:rsid w:val="003F77E8"/>
    <w:rPr>
      <w:sz w:val="20"/>
      <w:szCs w:val="20"/>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ftref"/>
    <w:basedOn w:val="Noklusjumarindkopasfonts"/>
    <w:link w:val="CharCharCharChar"/>
    <w:uiPriority w:val="99"/>
    <w:unhideWhenUsed/>
    <w:qFormat/>
    <w:rsid w:val="003F77E8"/>
    <w:rPr>
      <w:vertAlign w:val="superscript"/>
    </w:rPr>
  </w:style>
  <w:style w:type="character" w:customStyle="1" w:styleId="cf01">
    <w:name w:val="cf01"/>
    <w:basedOn w:val="Noklusjumarindkopasfonts"/>
    <w:rsid w:val="00E313B8"/>
    <w:rPr>
      <w:rFonts w:ascii="Segoe UI" w:hAnsi="Segoe UI" w:cs="Segoe UI" w:hint="default"/>
      <w:sz w:val="18"/>
      <w:szCs w:val="18"/>
    </w:rPr>
  </w:style>
  <w:style w:type="character" w:styleId="Komentraatsauce">
    <w:name w:val="annotation reference"/>
    <w:basedOn w:val="Noklusjumarindkopasfonts"/>
    <w:uiPriority w:val="99"/>
    <w:semiHidden/>
    <w:unhideWhenUsed/>
    <w:rsid w:val="000C32C2"/>
    <w:rPr>
      <w:sz w:val="16"/>
      <w:szCs w:val="16"/>
    </w:rPr>
  </w:style>
  <w:style w:type="paragraph" w:styleId="Komentrateksts">
    <w:name w:val="annotation text"/>
    <w:basedOn w:val="Parasts"/>
    <w:link w:val="KomentratekstsRakstz"/>
    <w:uiPriority w:val="99"/>
    <w:unhideWhenUsed/>
    <w:rsid w:val="000C32C2"/>
    <w:pPr>
      <w:spacing w:line="240" w:lineRule="auto"/>
    </w:pPr>
    <w:rPr>
      <w:sz w:val="20"/>
      <w:szCs w:val="20"/>
    </w:rPr>
  </w:style>
  <w:style w:type="character" w:customStyle="1" w:styleId="KomentratekstsRakstz">
    <w:name w:val="Komentāra teksts Rakstz."/>
    <w:basedOn w:val="Noklusjumarindkopasfonts"/>
    <w:link w:val="Komentrateksts"/>
    <w:uiPriority w:val="99"/>
    <w:rsid w:val="000C32C2"/>
    <w:rPr>
      <w:sz w:val="20"/>
      <w:szCs w:val="20"/>
    </w:rPr>
  </w:style>
  <w:style w:type="paragraph" w:styleId="Komentratma">
    <w:name w:val="annotation subject"/>
    <w:basedOn w:val="Komentrateksts"/>
    <w:next w:val="Komentrateksts"/>
    <w:link w:val="KomentratmaRakstz"/>
    <w:uiPriority w:val="99"/>
    <w:semiHidden/>
    <w:unhideWhenUsed/>
    <w:rsid w:val="000C32C2"/>
    <w:rPr>
      <w:b/>
      <w:bCs/>
    </w:rPr>
  </w:style>
  <w:style w:type="character" w:customStyle="1" w:styleId="KomentratmaRakstz">
    <w:name w:val="Komentāra tēma Rakstz."/>
    <w:basedOn w:val="KomentratekstsRakstz"/>
    <w:link w:val="Komentratma"/>
    <w:uiPriority w:val="99"/>
    <w:semiHidden/>
    <w:rsid w:val="000C32C2"/>
    <w:rPr>
      <w:b/>
      <w:bCs/>
      <w:sz w:val="20"/>
      <w:szCs w:val="20"/>
    </w:rPr>
  </w:style>
  <w:style w:type="paragraph" w:customStyle="1" w:styleId="tv213">
    <w:name w:val="tv213"/>
    <w:basedOn w:val="Parasts"/>
    <w:rsid w:val="00836241"/>
    <w:pPr>
      <w:widowControl/>
      <w:spacing w:before="100" w:beforeAutospacing="1" w:after="100" w:afterAutospacing="1" w:line="240" w:lineRule="auto"/>
    </w:pPr>
    <w:rPr>
      <w:rFonts w:eastAsia="Times New Roman"/>
    </w:rPr>
  </w:style>
  <w:style w:type="character" w:customStyle="1" w:styleId="apple-converted-space">
    <w:name w:val="apple-converted-space"/>
    <w:basedOn w:val="Noklusjumarindkopasfonts"/>
    <w:rsid w:val="008673B6"/>
  </w:style>
  <w:style w:type="character" w:customStyle="1" w:styleId="apple-style-span">
    <w:name w:val="apple-style-span"/>
    <w:basedOn w:val="Noklusjumarindkopasfonts"/>
    <w:rsid w:val="00857D5B"/>
  </w:style>
  <w:style w:type="paragraph" w:customStyle="1" w:styleId="CharCharCharChar">
    <w:name w:val="Char Char Char Char"/>
    <w:aliases w:val="Char2"/>
    <w:basedOn w:val="Parasts"/>
    <w:next w:val="Parasts"/>
    <w:link w:val="Vresatsauce"/>
    <w:uiPriority w:val="99"/>
    <w:rsid w:val="006524DB"/>
    <w:pPr>
      <w:widowControl/>
      <w:spacing w:after="160" w:line="240" w:lineRule="exact"/>
      <w:jc w:val="both"/>
    </w:pPr>
    <w:rPr>
      <w:vertAlign w:val="superscript"/>
    </w:rPr>
  </w:style>
  <w:style w:type="character" w:customStyle="1" w:styleId="SarakstarindkopaRakstz">
    <w:name w:val="Saraksta rindkopa Rakstz."/>
    <w:aliases w:val="H&amp;P List Paragraph Rakstz.,List Paragraph1 Rakstz.,Syle 1 Rakstz."/>
    <w:link w:val="Sarakstarindkopa"/>
    <w:uiPriority w:val="34"/>
    <w:qFormat/>
    <w:locked/>
    <w:rsid w:val="00AE5342"/>
  </w:style>
  <w:style w:type="character" w:customStyle="1" w:styleId="normaltextrun">
    <w:name w:val="normaltextrun"/>
    <w:basedOn w:val="Noklusjumarindkopasfonts"/>
    <w:rsid w:val="00145635"/>
  </w:style>
  <w:style w:type="character" w:customStyle="1" w:styleId="eop">
    <w:name w:val="eop"/>
    <w:basedOn w:val="Noklusjumarindkopasfonts"/>
    <w:rsid w:val="00145635"/>
  </w:style>
  <w:style w:type="paragraph" w:styleId="Prskatjums">
    <w:name w:val="Revision"/>
    <w:hidden/>
    <w:uiPriority w:val="99"/>
    <w:semiHidden/>
    <w:rsid w:val="00DC1FB2"/>
  </w:style>
  <w:style w:type="character" w:styleId="Izmantotahipersaite">
    <w:name w:val="FollowedHyperlink"/>
    <w:basedOn w:val="Noklusjumarindkopasfonts"/>
    <w:uiPriority w:val="99"/>
    <w:semiHidden/>
    <w:unhideWhenUsed/>
    <w:rsid w:val="00DF1D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18E20-9901-4734-9A66-D09F6FF85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14035</Words>
  <Characters>8000</Characters>
  <Application>Microsoft Office Word</Application>
  <DocSecurity>0</DocSecurity>
  <Lines>66</Lines>
  <Paragraphs>43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Rainiceca</dc:creator>
  <cp:keywords/>
  <dc:description/>
  <cp:lastModifiedBy>Marika Mitrone</cp:lastModifiedBy>
  <cp:revision>16</cp:revision>
  <cp:lastPrinted>2017-06-19T07:12:00Z</cp:lastPrinted>
  <dcterms:created xsi:type="dcterms:W3CDTF">2026-04-29T10:04:00Z</dcterms:created>
  <dcterms:modified xsi:type="dcterms:W3CDTF">2026-05-06T10:00:00Z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