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752A" w14:textId="324A4437" w:rsidR="00237006" w:rsidRPr="00504C56" w:rsidRDefault="0072163F" w:rsidP="00237006">
      <w:pPr>
        <w:widowControl/>
        <w:spacing w:after="0" w:line="240" w:lineRule="auto"/>
        <w:ind w:left="-142"/>
        <w:jc w:val="right"/>
        <w:rPr>
          <w:rFonts w:eastAsia="Times New Roman"/>
          <w:b/>
          <w:bCs/>
        </w:rPr>
      </w:pPr>
      <w:r w:rsidRPr="00504C56">
        <w:rPr>
          <w:rFonts w:eastAsia="Times New Roman"/>
          <w:b/>
          <w:bCs/>
        </w:rPr>
        <w:t>/Pers. A/</w:t>
      </w:r>
    </w:p>
    <w:p w14:paraId="2F0CA7E5" w14:textId="6CE89757" w:rsidR="00237006" w:rsidRPr="00504C56" w:rsidRDefault="00237006" w:rsidP="00237006">
      <w:pPr>
        <w:widowControl/>
        <w:spacing w:after="0" w:line="240" w:lineRule="auto"/>
        <w:ind w:left="-142"/>
        <w:jc w:val="right"/>
        <w:rPr>
          <w:rFonts w:eastAsia="Times New Roman"/>
          <w:b/>
          <w:bCs/>
        </w:rPr>
      </w:pPr>
      <w:r w:rsidRPr="00504C56">
        <w:rPr>
          <w:rFonts w:eastAsia="Times New Roman"/>
        </w:rPr>
        <w:t xml:space="preserve">e-pasta adrese: </w:t>
      </w:r>
      <w:r w:rsidR="0072163F" w:rsidRPr="00504C56">
        <w:rPr>
          <w:rFonts w:eastAsia="Times New Roman"/>
        </w:rPr>
        <w:t>/elektroniskā pasta adrese/</w:t>
      </w:r>
    </w:p>
    <w:p w14:paraId="1391DBA7" w14:textId="77777777" w:rsidR="00237006" w:rsidRPr="00504C56" w:rsidRDefault="00237006" w:rsidP="00237006">
      <w:pPr>
        <w:widowControl/>
        <w:spacing w:after="0" w:line="240" w:lineRule="auto"/>
        <w:ind w:left="-142"/>
        <w:jc w:val="right"/>
        <w:rPr>
          <w:rFonts w:eastAsia="Times New Roman"/>
        </w:rPr>
      </w:pPr>
    </w:p>
    <w:p w14:paraId="5DA458E1" w14:textId="0F2FF9BD" w:rsidR="00237006" w:rsidRPr="00504C56" w:rsidRDefault="00237006" w:rsidP="00237006">
      <w:pPr>
        <w:widowControl/>
        <w:spacing w:after="0" w:line="240" w:lineRule="auto"/>
        <w:jc w:val="center"/>
        <w:rPr>
          <w:rFonts w:eastAsia="Times New Roman"/>
          <w:b/>
          <w:bCs/>
        </w:rPr>
      </w:pPr>
      <w:r w:rsidRPr="00504C56">
        <w:rPr>
          <w:rFonts w:eastAsia="Times New Roman"/>
          <w:b/>
          <w:bCs/>
        </w:rPr>
        <w:t xml:space="preserve">Par </w:t>
      </w:r>
      <w:r w:rsidR="0072163F" w:rsidRPr="00504C56">
        <w:rPr>
          <w:rFonts w:eastAsia="Times New Roman"/>
          <w:b/>
          <w:bCs/>
        </w:rPr>
        <w:t>/pers. A/</w:t>
      </w:r>
      <w:r w:rsidRPr="00504C56">
        <w:rPr>
          <w:rFonts w:eastAsia="Times New Roman"/>
          <w:b/>
          <w:bCs/>
        </w:rPr>
        <w:t xml:space="preserve"> sūdzību par maksātnespējas procesa</w:t>
      </w:r>
    </w:p>
    <w:p w14:paraId="04F286F5" w14:textId="7A2532E4" w:rsidR="00237006" w:rsidRPr="00504C56" w:rsidRDefault="00237006" w:rsidP="00237006">
      <w:pPr>
        <w:widowControl/>
        <w:spacing w:after="0" w:line="240" w:lineRule="auto"/>
        <w:jc w:val="center"/>
        <w:rPr>
          <w:rFonts w:eastAsia="Times New Roman"/>
          <w:b/>
          <w:bCs/>
        </w:rPr>
      </w:pPr>
      <w:r w:rsidRPr="00504C56">
        <w:rPr>
          <w:rFonts w:eastAsia="Times New Roman"/>
          <w:b/>
          <w:bCs/>
        </w:rPr>
        <w:t xml:space="preserve"> administratora </w:t>
      </w:r>
      <w:r w:rsidR="0072163F" w:rsidRPr="00504C56">
        <w:rPr>
          <w:rFonts w:eastAsia="Times New Roman"/>
          <w:b/>
          <w:bCs/>
        </w:rPr>
        <w:t>/Administrators/</w:t>
      </w:r>
      <w:r w:rsidRPr="00504C56">
        <w:rPr>
          <w:rFonts w:eastAsia="Times New Roman"/>
          <w:b/>
          <w:bCs/>
        </w:rPr>
        <w:t xml:space="preserve"> rīcību </w:t>
      </w:r>
      <w:r w:rsidR="0072163F" w:rsidRPr="00504C56">
        <w:rPr>
          <w:rFonts w:eastAsia="Times New Roman"/>
          <w:b/>
          <w:bCs/>
        </w:rPr>
        <w:t>/</w:t>
      </w:r>
      <w:r w:rsidRPr="00504C56">
        <w:rPr>
          <w:rFonts w:eastAsia="Times New Roman"/>
          <w:b/>
          <w:bCs/>
        </w:rPr>
        <w:t>SIA </w:t>
      </w:r>
      <w:r w:rsidRPr="00504C56">
        <w:rPr>
          <w:rFonts w:eastAsia="Times New Roman"/>
        </w:rPr>
        <w:t>"</w:t>
      </w:r>
      <w:r w:rsidR="0072163F" w:rsidRPr="00504C56">
        <w:rPr>
          <w:rFonts w:eastAsia="Times New Roman"/>
          <w:b/>
          <w:bCs/>
        </w:rPr>
        <w:t>Nosaukums A</w:t>
      </w:r>
      <w:r w:rsidRPr="00504C56">
        <w:rPr>
          <w:rFonts w:eastAsia="Times New Roman"/>
        </w:rPr>
        <w:t>"</w:t>
      </w:r>
      <w:r w:rsidR="0072163F" w:rsidRPr="00504C56">
        <w:rPr>
          <w:rFonts w:eastAsia="Times New Roman"/>
        </w:rPr>
        <w:t>/</w:t>
      </w:r>
      <w:r w:rsidRPr="00504C56">
        <w:rPr>
          <w:rFonts w:eastAsia="Times New Roman"/>
          <w:b/>
          <w:bCs/>
        </w:rPr>
        <w:t xml:space="preserve"> </w:t>
      </w:r>
    </w:p>
    <w:p w14:paraId="673028F6" w14:textId="77777777" w:rsidR="00237006" w:rsidRPr="00504C56" w:rsidRDefault="00237006" w:rsidP="00237006">
      <w:pPr>
        <w:widowControl/>
        <w:spacing w:after="0" w:line="240" w:lineRule="auto"/>
        <w:jc w:val="center"/>
        <w:rPr>
          <w:rFonts w:eastAsia="Times New Roman"/>
          <w:b/>
          <w:bCs/>
        </w:rPr>
      </w:pPr>
      <w:r w:rsidRPr="00504C56">
        <w:rPr>
          <w:rFonts w:eastAsia="Times New Roman"/>
          <w:b/>
          <w:bCs/>
        </w:rPr>
        <w:t>juridiskās personas maksātnespējas procesā</w:t>
      </w:r>
    </w:p>
    <w:p w14:paraId="3DA05BE7" w14:textId="77777777" w:rsidR="00237006" w:rsidRPr="00504C56" w:rsidRDefault="00237006" w:rsidP="00237006">
      <w:pPr>
        <w:widowControl/>
        <w:spacing w:after="0" w:line="240" w:lineRule="auto"/>
        <w:ind w:left="-142"/>
        <w:jc w:val="center"/>
        <w:rPr>
          <w:rFonts w:eastAsia="Times New Roman"/>
          <w:b/>
          <w:bCs/>
        </w:rPr>
      </w:pPr>
    </w:p>
    <w:p w14:paraId="4BF29465" w14:textId="27566FB8" w:rsidR="00237006" w:rsidRPr="00504C56" w:rsidRDefault="00237006" w:rsidP="00237006">
      <w:pPr>
        <w:spacing w:after="0" w:line="240" w:lineRule="auto"/>
        <w:ind w:firstLine="709"/>
        <w:jc w:val="both"/>
        <w:rPr>
          <w:iCs/>
          <w:lang w:eastAsia="en-US"/>
        </w:rPr>
      </w:pPr>
      <w:r w:rsidRPr="00504C56">
        <w:rPr>
          <w:iCs/>
          <w:lang w:eastAsia="en-US"/>
        </w:rPr>
        <w:t xml:space="preserve">Maksātnespējas kontroles dienestā 2026. gada 19. janvārī </w:t>
      </w:r>
      <w:r w:rsidRPr="00504C56">
        <w:t>elektroniskā pasta sūtījumā</w:t>
      </w:r>
      <w:r w:rsidRPr="00504C56">
        <w:rPr>
          <w:iCs/>
          <w:lang w:eastAsia="en-US"/>
        </w:rPr>
        <w:t xml:space="preserve"> saņemta </w:t>
      </w:r>
      <w:r w:rsidR="0072163F" w:rsidRPr="00504C56">
        <w:rPr>
          <w:rFonts w:eastAsia="Times New Roman"/>
        </w:rPr>
        <w:t>/pers. A/</w:t>
      </w:r>
      <w:r w:rsidRPr="00504C56">
        <w:rPr>
          <w:rFonts w:eastAsia="Times New Roman"/>
        </w:rPr>
        <w:t xml:space="preserve"> (turpmāk - Iesniedzējs) neparakstīta </w:t>
      </w:r>
      <w:r w:rsidRPr="00504C56">
        <w:rPr>
          <w:iCs/>
          <w:lang w:eastAsia="en-US"/>
        </w:rPr>
        <w:t xml:space="preserve">2026. gada 18. janvāra sūdzība (turpmāk – Sūdzība) par maksātnespējas procesa administratora </w:t>
      </w:r>
      <w:r w:rsidR="0072163F" w:rsidRPr="00504C56">
        <w:rPr>
          <w:iCs/>
          <w:lang w:eastAsia="en-US"/>
        </w:rPr>
        <w:t>/Administrators/</w:t>
      </w:r>
      <w:r w:rsidRPr="00504C56">
        <w:rPr>
          <w:iCs/>
          <w:lang w:eastAsia="en-US"/>
        </w:rPr>
        <w:t xml:space="preserve">, </w:t>
      </w:r>
      <w:r w:rsidR="0072163F" w:rsidRPr="00504C56">
        <w:rPr>
          <w:iCs/>
          <w:lang w:eastAsia="en-US"/>
        </w:rPr>
        <w:t>/</w:t>
      </w:r>
      <w:r w:rsidRPr="00504C56">
        <w:rPr>
          <w:iCs/>
          <w:lang w:eastAsia="en-US"/>
        </w:rPr>
        <w:t xml:space="preserve">amata apliecības </w:t>
      </w:r>
      <w:r w:rsidR="0072163F" w:rsidRPr="00504C56">
        <w:rPr>
          <w:iCs/>
          <w:lang w:eastAsia="en-US"/>
        </w:rPr>
        <w:t>numurs/</w:t>
      </w:r>
      <w:r w:rsidRPr="00504C56">
        <w:rPr>
          <w:iCs/>
          <w:lang w:eastAsia="en-US"/>
        </w:rPr>
        <w:t xml:space="preserve">, (turpmāk – Administrators) rīcību </w:t>
      </w:r>
      <w:r w:rsidR="0072163F" w:rsidRPr="00504C56">
        <w:rPr>
          <w:iCs/>
          <w:lang w:eastAsia="en-US"/>
        </w:rPr>
        <w:t>/</w:t>
      </w:r>
      <w:r w:rsidRPr="00504C56">
        <w:rPr>
          <w:rFonts w:eastAsia="Times New Roman"/>
        </w:rPr>
        <w:t>SIA "</w:t>
      </w:r>
      <w:r w:rsidR="0072163F" w:rsidRPr="00504C56">
        <w:rPr>
          <w:rFonts w:eastAsia="Times New Roman"/>
        </w:rPr>
        <w:t>Nosaukums A</w:t>
      </w:r>
      <w:r w:rsidRPr="00504C56">
        <w:rPr>
          <w:rFonts w:eastAsia="Times New Roman"/>
        </w:rPr>
        <w:t>"</w:t>
      </w:r>
      <w:r w:rsidR="0072163F" w:rsidRPr="00504C56">
        <w:rPr>
          <w:rFonts w:eastAsia="Times New Roman"/>
        </w:rPr>
        <w:t>/</w:t>
      </w:r>
      <w:r w:rsidRPr="00504C56">
        <w:rPr>
          <w:rFonts w:eastAsia="Times New Roman"/>
        </w:rPr>
        <w:t xml:space="preserve">, </w:t>
      </w:r>
      <w:r w:rsidR="0072163F" w:rsidRPr="00504C56">
        <w:rPr>
          <w:rFonts w:eastAsia="Times New Roman"/>
        </w:rPr>
        <w:t>/</w:t>
      </w:r>
      <w:r w:rsidRPr="00504C56">
        <w:rPr>
          <w:rFonts w:eastAsia="Times New Roman"/>
        </w:rPr>
        <w:t xml:space="preserve">reģistrācijas </w:t>
      </w:r>
      <w:r w:rsidR="0072163F" w:rsidRPr="00504C56">
        <w:rPr>
          <w:rFonts w:eastAsia="Times New Roman"/>
        </w:rPr>
        <w:t>numurs/</w:t>
      </w:r>
      <w:r w:rsidRPr="00504C56">
        <w:rPr>
          <w:rFonts w:eastAsia="Times New Roman"/>
        </w:rPr>
        <w:t>,</w:t>
      </w:r>
      <w:r w:rsidRPr="00504C56">
        <w:rPr>
          <w:iCs/>
          <w:lang w:eastAsia="en-US"/>
        </w:rPr>
        <w:t xml:space="preserve"> (turpmāk – Parādnieks) juridiskās personas maksātnespējas procesā.</w:t>
      </w:r>
    </w:p>
    <w:p w14:paraId="3433BA9D" w14:textId="77777777" w:rsidR="00237006" w:rsidRPr="00504C56" w:rsidRDefault="00237006" w:rsidP="00237006">
      <w:pPr>
        <w:spacing w:after="0" w:line="240" w:lineRule="auto"/>
        <w:ind w:firstLine="709"/>
        <w:jc w:val="both"/>
        <w:rPr>
          <w:iCs/>
          <w:lang w:eastAsia="en-US"/>
        </w:rPr>
      </w:pPr>
      <w:r w:rsidRPr="00504C56">
        <w:rPr>
          <w:iCs/>
          <w:lang w:eastAsia="en-US"/>
        </w:rPr>
        <w:t xml:space="preserve">Izskatot Maksātnespējas kontroles dienesta rīcībā esošo informāciju par Parādnieka maksātnespējas procesa gaitu, </w:t>
      </w:r>
      <w:r w:rsidRPr="00504C56">
        <w:rPr>
          <w:b/>
          <w:bCs/>
          <w:iCs/>
          <w:lang w:eastAsia="en-US"/>
        </w:rPr>
        <w:t>konstatēts</w:t>
      </w:r>
      <w:r w:rsidRPr="00504C56">
        <w:rPr>
          <w:iCs/>
          <w:lang w:eastAsia="en-US"/>
        </w:rPr>
        <w:t>:</w:t>
      </w:r>
    </w:p>
    <w:p w14:paraId="3F8ADD4C" w14:textId="3A568C84" w:rsidR="00237006" w:rsidRPr="00504C56" w:rsidRDefault="00237006" w:rsidP="00237006">
      <w:pPr>
        <w:spacing w:after="0" w:line="240" w:lineRule="auto"/>
        <w:ind w:firstLine="709"/>
        <w:jc w:val="both"/>
        <w:rPr>
          <w:iCs/>
          <w:lang w:eastAsia="en-US"/>
        </w:rPr>
      </w:pPr>
      <w:r w:rsidRPr="00504C56">
        <w:rPr>
          <w:iCs/>
          <w:lang w:eastAsia="en-US"/>
        </w:rPr>
        <w:t>[1] Ar</w:t>
      </w:r>
      <w:r w:rsidR="00A46563" w:rsidRPr="00504C56">
        <w:rPr>
          <w:iCs/>
          <w:lang w:eastAsia="en-US"/>
        </w:rPr>
        <w:t xml:space="preserve"> /</w:t>
      </w:r>
      <w:r w:rsidRPr="00504C56">
        <w:rPr>
          <w:iCs/>
          <w:lang w:eastAsia="en-US"/>
        </w:rPr>
        <w:t>tiesas</w:t>
      </w:r>
      <w:r w:rsidR="00A46563" w:rsidRPr="00504C56">
        <w:rPr>
          <w:iCs/>
          <w:lang w:eastAsia="en-US"/>
        </w:rPr>
        <w:t xml:space="preserve"> nosaukums/</w:t>
      </w:r>
      <w:r w:rsidRPr="00504C56">
        <w:rPr>
          <w:iCs/>
          <w:lang w:eastAsia="en-US"/>
        </w:rPr>
        <w:t xml:space="preserve"> </w:t>
      </w:r>
      <w:r w:rsidR="00A46563" w:rsidRPr="00504C56">
        <w:rPr>
          <w:iCs/>
          <w:lang w:eastAsia="en-US"/>
        </w:rPr>
        <w:t>/datums/</w:t>
      </w:r>
      <w:r w:rsidRPr="00504C56">
        <w:rPr>
          <w:iCs/>
          <w:lang w:eastAsia="en-US"/>
        </w:rPr>
        <w:t xml:space="preserve"> spriedumu lietā </w:t>
      </w:r>
      <w:r w:rsidR="00A46563" w:rsidRPr="00504C56">
        <w:rPr>
          <w:iCs/>
          <w:lang w:eastAsia="en-US"/>
        </w:rPr>
        <w:t>/lietas numurs/</w:t>
      </w:r>
      <w:r w:rsidRPr="00504C56">
        <w:rPr>
          <w:iCs/>
          <w:lang w:eastAsia="en-US"/>
        </w:rPr>
        <w:t xml:space="preserve"> pasludināts Parādnieka juridiskās personas maksātnespējas process un par maksātnespējas procesa administratoru iecelts Administrators.</w:t>
      </w:r>
    </w:p>
    <w:p w14:paraId="4D58724B" w14:textId="77777777" w:rsidR="00237006" w:rsidRPr="00504C56" w:rsidRDefault="00237006" w:rsidP="00237006">
      <w:pPr>
        <w:autoSpaceDE w:val="0"/>
        <w:autoSpaceDN w:val="0"/>
        <w:adjustRightInd w:val="0"/>
        <w:spacing w:after="0" w:line="240" w:lineRule="auto"/>
        <w:ind w:firstLine="720"/>
        <w:jc w:val="both"/>
        <w:rPr>
          <w:rFonts w:eastAsia="Times New Roman"/>
        </w:rPr>
      </w:pPr>
      <w:r w:rsidRPr="00504C56">
        <w:rPr>
          <w:rFonts w:eastAsia="Times New Roman"/>
        </w:rPr>
        <w:t>[2] Sūdzībā izteikta pretenzija par Administratora rīcību, neveicot darbības darbinieku tiesību aizsardzībai.</w:t>
      </w:r>
    </w:p>
    <w:p w14:paraId="55257E3D" w14:textId="77777777" w:rsidR="00237006" w:rsidRPr="00504C56" w:rsidRDefault="00237006" w:rsidP="00237006">
      <w:pPr>
        <w:spacing w:after="0" w:line="240" w:lineRule="auto"/>
        <w:ind w:firstLine="709"/>
        <w:jc w:val="both"/>
      </w:pPr>
      <w:r w:rsidRPr="00504C56">
        <w:t>[3] Maksātnespējas kontroles dienests konstatē, ka Sūdzība, kas saņemta elektroniskā pasta sūtījumā, nav parakstīta ar drošu elektronisko parakstu.</w:t>
      </w:r>
    </w:p>
    <w:p w14:paraId="1A68BF95" w14:textId="77777777" w:rsidR="00237006" w:rsidRPr="00504C56" w:rsidRDefault="00237006" w:rsidP="00237006">
      <w:pPr>
        <w:spacing w:after="0" w:line="240" w:lineRule="auto"/>
        <w:ind w:firstLine="720"/>
        <w:jc w:val="both"/>
        <w:rPr>
          <w:rFonts w:eastAsia="Times New Roman"/>
        </w:rPr>
      </w:pPr>
      <w:r w:rsidRPr="00504C56">
        <w:t xml:space="preserve">[3.1] Dokumentu juridiskā spēkā likuma 4. panta pirmās daļas 3. punktā un 5. pantā noteikts, lai dokumentam būtu juridisks spēks, tas ir pašrocīgi jāparaksta. </w:t>
      </w:r>
      <w:r w:rsidRPr="00504C56">
        <w:rPr>
          <w:rFonts w:eastAsia="Times New Roman"/>
        </w:rPr>
        <w:t xml:space="preserve">Secināms, ka paraksts ir obligāts dokumenta rekvizīts, kas piešķir dokumentam juridisku spēku. Elektronisko dokumentu oriģināliem un to atvasinājumiem piemērojams arī Elektronisko dokumentu likums (Dokumentu juridiskā spēka likuma 2. panta otrā daļa). </w:t>
      </w:r>
    </w:p>
    <w:p w14:paraId="3F8A6D4D" w14:textId="77777777" w:rsidR="00237006" w:rsidRPr="00504C56" w:rsidRDefault="00237006" w:rsidP="00237006">
      <w:pPr>
        <w:spacing w:after="0" w:line="240" w:lineRule="auto"/>
        <w:ind w:firstLine="720"/>
        <w:jc w:val="both"/>
        <w:rPr>
          <w:rFonts w:eastAsia="Times New Roman"/>
        </w:rPr>
      </w:pPr>
      <w:r w:rsidRPr="00504C56">
        <w:rPr>
          <w:rFonts w:eastAsia="Times New Roman"/>
        </w:rPr>
        <w:t xml:space="preserve">Elektronisko dokumentu likuma 3. panta otrā daļa nosaka, ka elektroniskais dokuments uzskatāms par pašrocīgi parakstītu, ja tam ir drošs elektroniskais paraksts. </w:t>
      </w:r>
    </w:p>
    <w:p w14:paraId="3C900953" w14:textId="77777777" w:rsidR="00237006" w:rsidRPr="00504C56" w:rsidRDefault="00237006" w:rsidP="00237006">
      <w:pPr>
        <w:spacing w:after="0" w:line="240" w:lineRule="auto"/>
        <w:ind w:firstLine="720"/>
        <w:jc w:val="both"/>
        <w:rPr>
          <w:rFonts w:eastAsia="Times New Roman"/>
        </w:rPr>
      </w:pPr>
      <w:r w:rsidRPr="00504C56">
        <w:rPr>
          <w:rFonts w:eastAsia="Times New Roman"/>
        </w:rPr>
        <w:t xml:space="preserve">No minētā izriet, lai elektroniskajā pasta sūtījumā sūtīts dokuments iegūtu juridisku spēku, tam ir jābūt parakstītam ar drošu elektronisko parakstu. </w:t>
      </w:r>
    </w:p>
    <w:p w14:paraId="7CC293A2" w14:textId="77777777" w:rsidR="00237006" w:rsidRPr="00504C56" w:rsidRDefault="00237006" w:rsidP="00237006">
      <w:pPr>
        <w:spacing w:after="0" w:line="240" w:lineRule="auto"/>
        <w:ind w:firstLine="720"/>
        <w:jc w:val="both"/>
        <w:rPr>
          <w:rFonts w:eastAsia="Times New Roman"/>
        </w:rPr>
      </w:pPr>
      <w:r w:rsidRPr="00504C56">
        <w:rPr>
          <w:rFonts w:eastAsia="Times New Roman"/>
        </w:rPr>
        <w:t>[3.2] Saskaņā ar Dokumentu juridiskā spēka likuma 1. panta otro daļu dokumenta juridiskais spēks nodrošina iespēju izmantot attiecīgo dokumentu tiesību īstenošanai vai likumisko interešu aizstāvībai, turklāt dokuments, kuram nav juridiska spēka, citām organizācijām un fiziskajām personām nav saistošs.</w:t>
      </w:r>
      <w:r w:rsidRPr="00504C56">
        <w:rPr>
          <w:rFonts w:eastAsia="Times New Roman"/>
          <w:sz w:val="26"/>
          <w:szCs w:val="20"/>
        </w:rPr>
        <w:t xml:space="preserve"> </w:t>
      </w:r>
    </w:p>
    <w:p w14:paraId="4FA6AFED" w14:textId="77777777" w:rsidR="00237006" w:rsidRPr="00504C56" w:rsidRDefault="00237006" w:rsidP="00237006">
      <w:pPr>
        <w:spacing w:after="0" w:line="240" w:lineRule="auto"/>
        <w:ind w:firstLine="720"/>
        <w:jc w:val="both"/>
        <w:rPr>
          <w:rFonts w:eastAsia="Times New Roman"/>
        </w:rPr>
      </w:pPr>
      <w:r w:rsidRPr="00504C56">
        <w:rPr>
          <w:rFonts w:eastAsia="Times New Roman"/>
        </w:rPr>
        <w:t xml:space="preserve">Ievērojot minēto, secināms, ka Sūdzība ir atstājama bez virzības, nosakot termiņu trūkuma novēršanai. Proti, Iesniedzējam Sūdzība, nosūtot to elektroniskā pasta sūtījumā, </w:t>
      </w:r>
      <w:r w:rsidRPr="00504C56">
        <w:rPr>
          <w:rFonts w:eastAsia="Times New Roman"/>
        </w:rPr>
        <w:lastRenderedPageBreak/>
        <w:t>jāparaksta ar drošu elektronisko parakstu. Savukārt, ja Iesniedzējs vēlas iesniegt Sūdzību papīra formātā, tai ir jābūt pašrocīgi parakstītai.</w:t>
      </w:r>
    </w:p>
    <w:p w14:paraId="48B7FD86" w14:textId="77777777" w:rsidR="00237006" w:rsidRPr="00504C56" w:rsidRDefault="00237006" w:rsidP="00237006">
      <w:pPr>
        <w:spacing w:after="0" w:line="240" w:lineRule="auto"/>
        <w:ind w:firstLine="567"/>
        <w:jc w:val="both"/>
        <w:rPr>
          <w:rFonts w:eastAsia="Times New Roman"/>
        </w:rPr>
      </w:pPr>
      <w:r w:rsidRPr="00504C56">
        <w:rPr>
          <w:rFonts w:eastAsia="Times New Roman"/>
        </w:rPr>
        <w:t>Gadījumā, ja trūkums noteiktajā termiņā netiks novērsts, Sūdzība tiks uzskatīta par neiesniegtu.</w:t>
      </w:r>
    </w:p>
    <w:p w14:paraId="5585E322" w14:textId="1CD05007" w:rsidR="00237006" w:rsidRPr="00504C56" w:rsidRDefault="00237006" w:rsidP="00237006">
      <w:pPr>
        <w:spacing w:after="0" w:line="240" w:lineRule="auto"/>
        <w:ind w:firstLine="567"/>
        <w:jc w:val="both"/>
        <w:rPr>
          <w:iCs/>
          <w:lang w:eastAsia="en-US"/>
        </w:rPr>
      </w:pPr>
      <w:r w:rsidRPr="00504C56">
        <w:rPr>
          <w:rFonts w:eastAsia="Times New Roman"/>
        </w:rPr>
        <w:t xml:space="preserve">Vienlaikus vēršam uzmanību, ka </w:t>
      </w:r>
      <w:r w:rsidR="00F4693B" w:rsidRPr="00504C56">
        <w:rPr>
          <w:iCs/>
          <w:lang w:eastAsia="en-US"/>
        </w:rPr>
        <w:t>i</w:t>
      </w:r>
      <w:r w:rsidRPr="00504C56">
        <w:rPr>
          <w:iCs/>
          <w:lang w:eastAsia="en-US"/>
        </w:rPr>
        <w:t xml:space="preserve">esniedzēja iespējamais tiesību aizskārums ir viens no priekšnoteikumiem, lai Maksātnespējas kontroles dienests, izskatot sūdzību, vērtētu tajā norādīto administratora rīcību. Līdz ar to sūdzību ir pamatoti iesniegt tikai, ja ir aizskartas paša </w:t>
      </w:r>
      <w:r w:rsidR="00F4693B" w:rsidRPr="00504C56">
        <w:rPr>
          <w:iCs/>
          <w:lang w:eastAsia="en-US"/>
        </w:rPr>
        <w:t>i</w:t>
      </w:r>
      <w:r w:rsidRPr="00504C56">
        <w:rPr>
          <w:iCs/>
          <w:lang w:eastAsia="en-US"/>
        </w:rPr>
        <w:t xml:space="preserve">esniedzēja intereses, nevis izteiktas pretenzijas par maksātnespējas procesa norisi kopumā un administratoru rīcību attiecībā par citu darbinieku tiesību aizsardzības īstenošanu. Sūdzībai ir pievienojami dokumenti, ar ko </w:t>
      </w:r>
      <w:r w:rsidR="00F4693B" w:rsidRPr="00504C56">
        <w:rPr>
          <w:iCs/>
          <w:lang w:eastAsia="en-US"/>
        </w:rPr>
        <w:t>i</w:t>
      </w:r>
      <w:r w:rsidRPr="00504C56">
        <w:rPr>
          <w:iCs/>
          <w:lang w:eastAsia="en-US"/>
        </w:rPr>
        <w:t>esniedzēja aizskārumu ir iespējams pamatot.</w:t>
      </w:r>
    </w:p>
    <w:p w14:paraId="0C6766F2" w14:textId="77777777" w:rsidR="00237006" w:rsidRPr="00504C56" w:rsidRDefault="00237006" w:rsidP="00237006">
      <w:pPr>
        <w:spacing w:after="0" w:line="240" w:lineRule="auto"/>
        <w:ind w:firstLine="720"/>
        <w:jc w:val="both"/>
        <w:rPr>
          <w:rFonts w:eastAsia="Times New Roman"/>
        </w:rPr>
      </w:pPr>
    </w:p>
    <w:p w14:paraId="75E51259" w14:textId="77777777" w:rsidR="00237006" w:rsidRPr="00504C56" w:rsidRDefault="00237006" w:rsidP="00237006">
      <w:pPr>
        <w:spacing w:after="0" w:line="240" w:lineRule="auto"/>
        <w:ind w:firstLine="720"/>
        <w:jc w:val="both"/>
        <w:rPr>
          <w:rFonts w:eastAsia="Times New Roman"/>
        </w:rPr>
      </w:pPr>
      <w:r w:rsidRPr="00504C56">
        <w:t xml:space="preserve">Izvērtējot izklāstīto un pamatojoties uz Maksātnespējas likuma </w:t>
      </w:r>
      <w:r w:rsidRPr="00504C56">
        <w:rPr>
          <w:lang w:eastAsia="en-US"/>
        </w:rPr>
        <w:t>174.</w:t>
      </w:r>
      <w:r w:rsidRPr="00504C56">
        <w:rPr>
          <w:vertAlign w:val="superscript"/>
          <w:lang w:eastAsia="en-US"/>
        </w:rPr>
        <w:t>1 </w:t>
      </w:r>
      <w:r w:rsidRPr="00504C56">
        <w:rPr>
          <w:lang w:eastAsia="en-US"/>
        </w:rPr>
        <w:t>panta 1. un 2. punktu</w:t>
      </w:r>
      <w:r w:rsidRPr="00504C56">
        <w:t>, 176. panta pirmo daļu un 175. panta ceturto daļu,</w:t>
      </w:r>
    </w:p>
    <w:p w14:paraId="6FFDE8A0" w14:textId="77777777" w:rsidR="00237006" w:rsidRPr="00504C56" w:rsidRDefault="00237006" w:rsidP="00237006">
      <w:pPr>
        <w:spacing w:after="0" w:line="240" w:lineRule="auto"/>
        <w:ind w:firstLine="720"/>
        <w:jc w:val="both"/>
      </w:pPr>
    </w:p>
    <w:p w14:paraId="7AD22B8C" w14:textId="77777777" w:rsidR="00237006" w:rsidRPr="00504C56" w:rsidRDefault="00237006" w:rsidP="00237006">
      <w:pPr>
        <w:spacing w:after="0" w:line="240" w:lineRule="auto"/>
        <w:ind w:firstLine="540"/>
        <w:jc w:val="center"/>
        <w:rPr>
          <w:rFonts w:eastAsia="Times New Roman"/>
        </w:rPr>
      </w:pPr>
      <w:r w:rsidRPr="00504C56">
        <w:rPr>
          <w:rFonts w:eastAsia="Times New Roman"/>
          <w:b/>
          <w:bCs/>
        </w:rPr>
        <w:t>nolēmu:</w:t>
      </w:r>
    </w:p>
    <w:p w14:paraId="6BDD8993" w14:textId="77777777" w:rsidR="00237006" w:rsidRPr="00504C56" w:rsidRDefault="00237006" w:rsidP="00237006">
      <w:pPr>
        <w:spacing w:after="0" w:line="240" w:lineRule="auto"/>
        <w:ind w:firstLine="540"/>
        <w:jc w:val="center"/>
        <w:rPr>
          <w:rFonts w:eastAsia="Times New Roman"/>
        </w:rPr>
      </w:pPr>
    </w:p>
    <w:p w14:paraId="2CF3C603" w14:textId="43C48A89" w:rsidR="00237006" w:rsidRPr="00504C56" w:rsidRDefault="00237006" w:rsidP="00237006">
      <w:pPr>
        <w:spacing w:after="0" w:line="240" w:lineRule="auto"/>
        <w:ind w:firstLine="709"/>
        <w:jc w:val="both"/>
      </w:pPr>
      <w:r w:rsidRPr="00504C56">
        <w:t xml:space="preserve">1. Atstāt bez virzības </w:t>
      </w:r>
      <w:r w:rsidR="00BA3B0A" w:rsidRPr="00504C56">
        <w:rPr>
          <w:rFonts w:eastAsia="Times New Roman"/>
        </w:rPr>
        <w:t>/pers. A/</w:t>
      </w:r>
      <w:r w:rsidRPr="00504C56">
        <w:rPr>
          <w:rFonts w:eastAsia="Times New Roman"/>
        </w:rPr>
        <w:t xml:space="preserve"> </w:t>
      </w:r>
      <w:r w:rsidRPr="00504C56">
        <w:rPr>
          <w:iCs/>
          <w:lang w:eastAsia="en-US"/>
        </w:rPr>
        <w:t xml:space="preserve">2026. gada 19. janvārī </w:t>
      </w:r>
      <w:r w:rsidRPr="00504C56">
        <w:t xml:space="preserve">Maksātnespējas kontroles dienestā saņemto 2026. gada 18. janvāra sūdzību par maksātnespējas procesa administratora </w:t>
      </w:r>
      <w:r w:rsidR="00BA3B0A" w:rsidRPr="00504C56">
        <w:rPr>
          <w:iCs/>
          <w:lang w:eastAsia="en-US"/>
        </w:rPr>
        <w:t>/Administrators/</w:t>
      </w:r>
      <w:r w:rsidRPr="00504C56">
        <w:rPr>
          <w:iCs/>
          <w:lang w:eastAsia="en-US"/>
        </w:rPr>
        <w:t xml:space="preserve">, </w:t>
      </w:r>
      <w:r w:rsidR="00BA3B0A" w:rsidRPr="00504C56">
        <w:rPr>
          <w:iCs/>
          <w:lang w:eastAsia="en-US"/>
        </w:rPr>
        <w:t>/</w:t>
      </w:r>
      <w:r w:rsidRPr="00504C56">
        <w:rPr>
          <w:iCs/>
          <w:lang w:eastAsia="en-US"/>
        </w:rPr>
        <w:t xml:space="preserve">amata apliecības </w:t>
      </w:r>
      <w:r w:rsidR="00BA3B0A" w:rsidRPr="00504C56">
        <w:rPr>
          <w:iCs/>
          <w:lang w:eastAsia="en-US"/>
        </w:rPr>
        <w:t>numurs/</w:t>
      </w:r>
      <w:r w:rsidRPr="00504C56">
        <w:rPr>
          <w:iCs/>
          <w:lang w:eastAsia="en-US"/>
        </w:rPr>
        <w:t xml:space="preserve">, rīcību </w:t>
      </w:r>
      <w:r w:rsidR="00BA3B0A" w:rsidRPr="00504C56">
        <w:rPr>
          <w:iCs/>
          <w:lang w:eastAsia="en-US"/>
        </w:rPr>
        <w:t>/</w:t>
      </w:r>
      <w:r w:rsidRPr="00504C56">
        <w:rPr>
          <w:rFonts w:eastAsia="Times New Roman"/>
        </w:rPr>
        <w:t>SIA "</w:t>
      </w:r>
      <w:r w:rsidR="00BA3B0A" w:rsidRPr="00504C56">
        <w:rPr>
          <w:rFonts w:eastAsia="Times New Roman"/>
        </w:rPr>
        <w:t>Nosaukums A</w:t>
      </w:r>
      <w:r w:rsidRPr="00504C56">
        <w:rPr>
          <w:rFonts w:eastAsia="Times New Roman"/>
        </w:rPr>
        <w:t>"</w:t>
      </w:r>
      <w:r w:rsidR="00BA3B0A" w:rsidRPr="00504C56">
        <w:rPr>
          <w:rFonts w:eastAsia="Times New Roman"/>
        </w:rPr>
        <w:t>/</w:t>
      </w:r>
      <w:r w:rsidRPr="00504C56">
        <w:rPr>
          <w:rFonts w:eastAsia="Times New Roman"/>
        </w:rPr>
        <w:t xml:space="preserve">, </w:t>
      </w:r>
      <w:r w:rsidR="00BA3B0A" w:rsidRPr="00504C56">
        <w:rPr>
          <w:rFonts w:eastAsia="Times New Roman"/>
        </w:rPr>
        <w:t>/</w:t>
      </w:r>
      <w:r w:rsidRPr="00504C56">
        <w:rPr>
          <w:rFonts w:eastAsia="Times New Roman"/>
        </w:rPr>
        <w:t xml:space="preserve">reģistrācijas </w:t>
      </w:r>
      <w:r w:rsidR="00BA3B0A" w:rsidRPr="00504C56">
        <w:rPr>
          <w:rFonts w:eastAsia="Times New Roman"/>
        </w:rPr>
        <w:t>numurs/</w:t>
      </w:r>
      <w:r w:rsidRPr="00504C56">
        <w:rPr>
          <w:iCs/>
          <w:lang w:eastAsia="en-US"/>
        </w:rPr>
        <w:t>, juridiskās personas maksātnespējas procesā</w:t>
      </w:r>
      <w:r w:rsidRPr="00504C56">
        <w:t xml:space="preserve">. </w:t>
      </w:r>
    </w:p>
    <w:p w14:paraId="1F003370" w14:textId="77777777" w:rsidR="00237006" w:rsidRPr="00504C56" w:rsidRDefault="00237006" w:rsidP="00237006">
      <w:pPr>
        <w:tabs>
          <w:tab w:val="left" w:pos="1080"/>
        </w:tabs>
        <w:spacing w:after="0" w:line="240" w:lineRule="auto"/>
        <w:ind w:firstLine="720"/>
        <w:jc w:val="both"/>
      </w:pPr>
    </w:p>
    <w:p w14:paraId="65C21B10" w14:textId="7553C091" w:rsidR="00237006" w:rsidRPr="00504C56" w:rsidRDefault="00237006" w:rsidP="00237006">
      <w:pPr>
        <w:tabs>
          <w:tab w:val="left" w:pos="1080"/>
        </w:tabs>
        <w:spacing w:after="0" w:line="240" w:lineRule="auto"/>
        <w:ind w:firstLine="720"/>
        <w:jc w:val="both"/>
      </w:pPr>
      <w:r w:rsidRPr="00504C56">
        <w:t xml:space="preserve">2. Noteikt </w:t>
      </w:r>
      <w:r w:rsidR="00BA3B0A" w:rsidRPr="00504C56">
        <w:rPr>
          <w:rFonts w:eastAsia="Times New Roman"/>
        </w:rPr>
        <w:t>/pers. A/</w:t>
      </w:r>
      <w:r w:rsidRPr="00504C56">
        <w:rPr>
          <w:rFonts w:eastAsia="Times New Roman"/>
        </w:rPr>
        <w:t xml:space="preserve"> </w:t>
      </w:r>
      <w:r w:rsidRPr="00504C56">
        <w:t xml:space="preserve">termiņu parakstītas sūdzības iesniegšanai Maksātnespējas kontroles dienestā līdz </w:t>
      </w:r>
      <w:r w:rsidRPr="00504C56">
        <w:rPr>
          <w:b/>
        </w:rPr>
        <w:t>2026. gada 6. februārim</w:t>
      </w:r>
      <w:r w:rsidRPr="00504C56">
        <w:t>.</w:t>
      </w:r>
    </w:p>
    <w:p w14:paraId="62952AAC" w14:textId="77777777" w:rsidR="00237006" w:rsidRPr="00504C56" w:rsidRDefault="00237006" w:rsidP="00237006">
      <w:pPr>
        <w:tabs>
          <w:tab w:val="left" w:pos="1080"/>
        </w:tabs>
        <w:spacing w:after="0" w:line="240" w:lineRule="auto"/>
        <w:ind w:firstLine="720"/>
        <w:jc w:val="both"/>
      </w:pPr>
    </w:p>
    <w:p w14:paraId="0F92FDFA" w14:textId="6720B179" w:rsidR="00237006" w:rsidRPr="004B5549" w:rsidRDefault="00237006" w:rsidP="00237006">
      <w:pPr>
        <w:pStyle w:val="Sarakstarindkopa"/>
        <w:widowControl/>
        <w:spacing w:after="0" w:line="240" w:lineRule="auto"/>
        <w:ind w:left="0" w:firstLine="709"/>
        <w:jc w:val="both"/>
      </w:pPr>
      <w:r w:rsidRPr="00504C56">
        <w:rPr>
          <w:rFonts w:eastAsia="Times New Roman"/>
        </w:rPr>
        <w:t xml:space="preserve">Lēmumu var pārsūdzēt </w:t>
      </w:r>
      <w:r w:rsidR="00BA3B0A" w:rsidRPr="00504C56">
        <w:rPr>
          <w:iCs/>
          <w:lang w:eastAsia="en-US"/>
        </w:rPr>
        <w:t>/tiesas nosaukums/</w:t>
      </w:r>
      <w:r w:rsidRPr="00504C56">
        <w:rPr>
          <w:iCs/>
          <w:lang w:eastAsia="en-US"/>
        </w:rPr>
        <w:t xml:space="preserve"> </w:t>
      </w:r>
      <w:r w:rsidRPr="00504C56">
        <w:rPr>
          <w:rFonts w:eastAsia="Times New Roman"/>
        </w:rPr>
        <w:t>mēneša laikā no lēmuma saņemšanas dienas. Sūdzības iesniegšana tiesā neaptur Maksātnespējas kontroles</w:t>
      </w:r>
      <w:r w:rsidRPr="004B5549">
        <w:rPr>
          <w:rFonts w:eastAsia="Times New Roman"/>
        </w:rPr>
        <w:t xml:space="preserve"> dienesta lēmuma darbību.</w:t>
      </w:r>
    </w:p>
    <w:p w14:paraId="15260C1B" w14:textId="77777777" w:rsidR="00237006" w:rsidRDefault="00237006" w:rsidP="00237006">
      <w:pPr>
        <w:pStyle w:val="Bodytext40"/>
        <w:shd w:val="clear" w:color="auto" w:fill="auto"/>
        <w:spacing w:after="0" w:line="240" w:lineRule="auto"/>
        <w:ind w:left="-142" w:firstLine="697"/>
        <w:rPr>
          <w:rFonts w:eastAsia="Calibri"/>
          <w:b w:val="0"/>
          <w:bCs w:val="0"/>
          <w:iCs/>
          <w:lang w:eastAsia="en-US"/>
        </w:rPr>
      </w:pPr>
    </w:p>
    <w:p w14:paraId="6FAB28B2" w14:textId="77777777" w:rsidR="00237006" w:rsidRPr="004B5549" w:rsidRDefault="00237006" w:rsidP="00237006">
      <w:pPr>
        <w:pStyle w:val="Bodytext40"/>
        <w:shd w:val="clear" w:color="auto" w:fill="auto"/>
        <w:spacing w:after="0" w:line="240" w:lineRule="auto"/>
        <w:ind w:left="-142" w:firstLine="697"/>
        <w:rPr>
          <w:rFonts w:eastAsia="Calibri"/>
          <w:b w:val="0"/>
          <w:bCs w:val="0"/>
          <w:iCs/>
          <w:lang w:eastAsia="en-US"/>
        </w:rPr>
      </w:pPr>
    </w:p>
    <w:p w14:paraId="14451A0C" w14:textId="77777777" w:rsidR="00237006" w:rsidRDefault="00237006" w:rsidP="00237006">
      <w:pPr>
        <w:pStyle w:val="Galvene"/>
        <w:tabs>
          <w:tab w:val="clear" w:pos="8640"/>
          <w:tab w:val="left" w:pos="720"/>
          <w:tab w:val="right" w:pos="9214"/>
        </w:tabs>
        <w:jc w:val="both"/>
      </w:pPr>
      <w:r w:rsidRPr="00682985">
        <w:t xml:space="preserve">Direktora </w:t>
      </w:r>
      <w:proofErr w:type="spellStart"/>
      <w:r w:rsidRPr="00682985">
        <w:t>p.i</w:t>
      </w:r>
      <w:proofErr w:type="spellEnd"/>
      <w:r w:rsidRPr="00682985">
        <w:t>.</w:t>
      </w:r>
      <w:r w:rsidRPr="00682985">
        <w:tab/>
      </w:r>
      <w:r w:rsidRPr="00682985">
        <w:tab/>
        <w:t>Baiba Banga</w:t>
      </w:r>
    </w:p>
    <w:p w14:paraId="3A04E8B2" w14:textId="77777777" w:rsidR="00237006" w:rsidRPr="00682985" w:rsidRDefault="00237006" w:rsidP="00237006">
      <w:pPr>
        <w:pStyle w:val="Galvene"/>
        <w:tabs>
          <w:tab w:val="clear" w:pos="8640"/>
          <w:tab w:val="left" w:pos="720"/>
          <w:tab w:val="right" w:pos="9214"/>
        </w:tabs>
        <w:jc w:val="both"/>
      </w:pPr>
    </w:p>
    <w:p w14:paraId="695FC031" w14:textId="77777777" w:rsidR="00237006" w:rsidRPr="00682985" w:rsidRDefault="00237006" w:rsidP="00237006">
      <w:pPr>
        <w:tabs>
          <w:tab w:val="left" w:pos="8080"/>
        </w:tabs>
        <w:autoSpaceDE w:val="0"/>
        <w:autoSpaceDN w:val="0"/>
        <w:adjustRightInd w:val="0"/>
        <w:spacing w:after="0" w:line="240" w:lineRule="auto"/>
        <w:ind w:firstLine="709"/>
        <w:jc w:val="both"/>
        <w:rPr>
          <w:rFonts w:eastAsia="Times New Roman"/>
        </w:rPr>
      </w:pPr>
    </w:p>
    <w:p w14:paraId="1E38EC0B" w14:textId="77777777" w:rsidR="00237006" w:rsidRPr="002704DD" w:rsidRDefault="00237006" w:rsidP="00237006">
      <w:pPr>
        <w:tabs>
          <w:tab w:val="left" w:pos="5940"/>
        </w:tabs>
        <w:spacing w:after="0" w:line="240" w:lineRule="auto"/>
        <w:jc w:val="both"/>
        <w:rPr>
          <w:sz w:val="20"/>
          <w:szCs w:val="20"/>
        </w:rPr>
      </w:pPr>
    </w:p>
    <w:p w14:paraId="08C43565" w14:textId="77777777" w:rsidR="00237006" w:rsidRPr="005A004E" w:rsidRDefault="00237006" w:rsidP="00237006">
      <w:pPr>
        <w:jc w:val="center"/>
      </w:pPr>
      <w:r w:rsidRPr="00682985">
        <w:rPr>
          <w:sz w:val="20"/>
          <w:szCs w:val="20"/>
          <w:lang w:eastAsia="en-US"/>
        </w:rPr>
        <w:t>DOKUMENTS IR PARAKSTĪTS AR DROŠU ELEKTRONISKO PARAKSTU</w:t>
      </w:r>
    </w:p>
    <w:p w14:paraId="4DBBFB97" w14:textId="6F607996" w:rsidR="00E8606B" w:rsidRPr="00237006" w:rsidRDefault="00E8606B" w:rsidP="00237006"/>
    <w:sectPr w:rsidR="00E8606B" w:rsidRPr="00237006" w:rsidSect="005F3708">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064C" w14:textId="77777777" w:rsidR="000C6076" w:rsidRDefault="000C6076">
      <w:pPr>
        <w:spacing w:after="0" w:line="240" w:lineRule="auto"/>
      </w:pPr>
      <w:r>
        <w:separator/>
      </w:r>
    </w:p>
  </w:endnote>
  <w:endnote w:type="continuationSeparator" w:id="0">
    <w:p w14:paraId="035B2DBF" w14:textId="77777777" w:rsidR="000C6076" w:rsidRDefault="000C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D6E2" w14:textId="77777777" w:rsidR="00022347" w:rsidRDefault="0002234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05081"/>
      <w:docPartObj>
        <w:docPartGallery w:val="Page Numbers (Bottom of Page)"/>
        <w:docPartUnique/>
      </w:docPartObj>
    </w:sdtPr>
    <w:sdtContent>
      <w:p w14:paraId="47A9BE53" w14:textId="02A8CD24" w:rsidR="00237006" w:rsidRDefault="00237006">
        <w:pPr>
          <w:pStyle w:val="Kjene"/>
          <w:jc w:val="center"/>
        </w:pPr>
        <w:r>
          <w:fldChar w:fldCharType="begin"/>
        </w:r>
        <w:r>
          <w:instrText>PAGE   \* MERGEFORMAT</w:instrText>
        </w:r>
        <w:r>
          <w:fldChar w:fldCharType="separate"/>
        </w:r>
        <w:r>
          <w:t>2</w:t>
        </w:r>
        <w:r>
          <w:fldChar w:fldCharType="end"/>
        </w:r>
      </w:p>
    </w:sdtContent>
  </w:sdt>
  <w:p w14:paraId="12C82A96" w14:textId="77777777" w:rsidR="00237006" w:rsidRDefault="0023700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215E" w14:textId="77777777" w:rsidR="00022347" w:rsidRDefault="000223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B25A" w14:textId="77777777" w:rsidR="000C6076" w:rsidRDefault="000C6076">
      <w:pPr>
        <w:spacing w:after="0" w:line="240" w:lineRule="auto"/>
      </w:pPr>
      <w:r>
        <w:separator/>
      </w:r>
    </w:p>
  </w:footnote>
  <w:footnote w:type="continuationSeparator" w:id="0">
    <w:p w14:paraId="028F6F3B" w14:textId="77777777" w:rsidR="000C6076" w:rsidRDefault="000C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AE2D" w14:textId="77777777" w:rsidR="00022347" w:rsidRDefault="0002234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7E07" w14:textId="77777777" w:rsidR="00022347" w:rsidRDefault="0002234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504C56" w14:paraId="08348528" w14:textId="77777777" w:rsidTr="00D37331">
      <w:tc>
        <w:tcPr>
          <w:tcW w:w="4792" w:type="dxa"/>
        </w:tcPr>
        <w:p w14:paraId="1E9E4CE3" w14:textId="77777777" w:rsidR="00D37331" w:rsidRPr="00504C56" w:rsidRDefault="00D37331" w:rsidP="00D37331">
          <w:pPr>
            <w:tabs>
              <w:tab w:val="left" w:pos="2296"/>
            </w:tabs>
          </w:pPr>
          <w:r w:rsidRPr="00504C56">
            <w:t>22.01.2026.</w:t>
          </w:r>
        </w:p>
      </w:tc>
      <w:tc>
        <w:tcPr>
          <w:tcW w:w="4792" w:type="dxa"/>
        </w:tcPr>
        <w:p w14:paraId="39F85DD5" w14:textId="7F426D89" w:rsidR="00D37331" w:rsidRPr="00504C56" w:rsidRDefault="00022347" w:rsidP="00D37331">
          <w:pPr>
            <w:tabs>
              <w:tab w:val="left" w:pos="2296"/>
            </w:tabs>
            <w:jc w:val="right"/>
          </w:pPr>
          <w:r w:rsidRPr="00504C56">
            <w:t>/Lēmuma numurs/</w:t>
          </w:r>
        </w:p>
      </w:tc>
    </w:tr>
  </w:tbl>
  <w:p w14:paraId="61E4FBAA" w14:textId="77777777" w:rsidR="00AE4050" w:rsidRDefault="005033FF" w:rsidP="00F013C3">
    <w:pPr>
      <w:pStyle w:val="Galvene"/>
      <w:tabs>
        <w:tab w:val="clear" w:pos="4320"/>
        <w:tab w:val="clear" w:pos="8640"/>
        <w:tab w:val="right" w:pos="6237"/>
      </w:tabs>
    </w:pPr>
    <w:r w:rsidRPr="00504C56">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sidRPr="00504C56">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0FA6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607272805">
    <w:abstractNumId w:val="10"/>
  </w:num>
  <w:num w:numId="2" w16cid:durableId="1469739398">
    <w:abstractNumId w:val="8"/>
  </w:num>
  <w:num w:numId="3" w16cid:durableId="324552231">
    <w:abstractNumId w:val="7"/>
  </w:num>
  <w:num w:numId="4" w16cid:durableId="1698001553">
    <w:abstractNumId w:val="6"/>
  </w:num>
  <w:num w:numId="5" w16cid:durableId="269287497">
    <w:abstractNumId w:val="5"/>
  </w:num>
  <w:num w:numId="6" w16cid:durableId="128985760">
    <w:abstractNumId w:val="9"/>
  </w:num>
  <w:num w:numId="7" w16cid:durableId="1386491959">
    <w:abstractNumId w:val="4"/>
  </w:num>
  <w:num w:numId="8" w16cid:durableId="927155189">
    <w:abstractNumId w:val="3"/>
  </w:num>
  <w:num w:numId="9" w16cid:durableId="100995767">
    <w:abstractNumId w:val="2"/>
  </w:num>
  <w:num w:numId="10" w16cid:durableId="1959098583">
    <w:abstractNumId w:val="1"/>
  </w:num>
  <w:num w:numId="11" w16cid:durableId="1143960204">
    <w:abstractNumId w:val="0"/>
  </w:num>
  <w:num w:numId="12" w16cid:durableId="1057319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387498">
    <w:abstractNumId w:val="13"/>
    <w:lvlOverride w:ilvl="0">
      <w:startOverride w:val="1"/>
    </w:lvlOverride>
  </w:num>
  <w:num w:numId="14" w16cid:durableId="1979065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2347"/>
    <w:rsid w:val="00030349"/>
    <w:rsid w:val="00061C78"/>
    <w:rsid w:val="000818B6"/>
    <w:rsid w:val="000B03D6"/>
    <w:rsid w:val="000B283E"/>
    <w:rsid w:val="000C6076"/>
    <w:rsid w:val="000D7019"/>
    <w:rsid w:val="000E5136"/>
    <w:rsid w:val="00106DA1"/>
    <w:rsid w:val="00124173"/>
    <w:rsid w:val="00126EC3"/>
    <w:rsid w:val="00152815"/>
    <w:rsid w:val="00181B9A"/>
    <w:rsid w:val="001B229F"/>
    <w:rsid w:val="001B265D"/>
    <w:rsid w:val="001B79BA"/>
    <w:rsid w:val="00223018"/>
    <w:rsid w:val="00237006"/>
    <w:rsid w:val="002545A4"/>
    <w:rsid w:val="00275B9E"/>
    <w:rsid w:val="00287A23"/>
    <w:rsid w:val="002B21F0"/>
    <w:rsid w:val="002B2810"/>
    <w:rsid w:val="002C2AE4"/>
    <w:rsid w:val="002D3458"/>
    <w:rsid w:val="002E1474"/>
    <w:rsid w:val="002E53DA"/>
    <w:rsid w:val="002F770A"/>
    <w:rsid w:val="003322AF"/>
    <w:rsid w:val="00344700"/>
    <w:rsid w:val="003B3D21"/>
    <w:rsid w:val="003E50AC"/>
    <w:rsid w:val="004B47FB"/>
    <w:rsid w:val="004D4900"/>
    <w:rsid w:val="005033FF"/>
    <w:rsid w:val="00504C56"/>
    <w:rsid w:val="005129E7"/>
    <w:rsid w:val="00535564"/>
    <w:rsid w:val="005511D4"/>
    <w:rsid w:val="00575A21"/>
    <w:rsid w:val="005A05CC"/>
    <w:rsid w:val="005A14A8"/>
    <w:rsid w:val="005D51AF"/>
    <w:rsid w:val="005F3708"/>
    <w:rsid w:val="00611115"/>
    <w:rsid w:val="006114CE"/>
    <w:rsid w:val="00644746"/>
    <w:rsid w:val="00646788"/>
    <w:rsid w:val="00654529"/>
    <w:rsid w:val="00663C3A"/>
    <w:rsid w:val="006936E4"/>
    <w:rsid w:val="006F0382"/>
    <w:rsid w:val="006F1A34"/>
    <w:rsid w:val="00705974"/>
    <w:rsid w:val="0071044A"/>
    <w:rsid w:val="00717DAE"/>
    <w:rsid w:val="0072163F"/>
    <w:rsid w:val="007815EB"/>
    <w:rsid w:val="00786021"/>
    <w:rsid w:val="00787FEE"/>
    <w:rsid w:val="007B3BA5"/>
    <w:rsid w:val="007D19F1"/>
    <w:rsid w:val="007E4D1F"/>
    <w:rsid w:val="00815277"/>
    <w:rsid w:val="008364B0"/>
    <w:rsid w:val="00875F2C"/>
    <w:rsid w:val="00876C21"/>
    <w:rsid w:val="008C2310"/>
    <w:rsid w:val="008D7603"/>
    <w:rsid w:val="008E7491"/>
    <w:rsid w:val="009263F5"/>
    <w:rsid w:val="00960C5E"/>
    <w:rsid w:val="00962029"/>
    <w:rsid w:val="00991007"/>
    <w:rsid w:val="00995FAA"/>
    <w:rsid w:val="009A4356"/>
    <w:rsid w:val="009D6578"/>
    <w:rsid w:val="00A46563"/>
    <w:rsid w:val="00A521E1"/>
    <w:rsid w:val="00A5473C"/>
    <w:rsid w:val="00A95BEA"/>
    <w:rsid w:val="00AE202A"/>
    <w:rsid w:val="00AE4050"/>
    <w:rsid w:val="00AF1975"/>
    <w:rsid w:val="00B12C26"/>
    <w:rsid w:val="00B164A6"/>
    <w:rsid w:val="00B474B7"/>
    <w:rsid w:val="00B6097A"/>
    <w:rsid w:val="00B70C91"/>
    <w:rsid w:val="00B73487"/>
    <w:rsid w:val="00B908BC"/>
    <w:rsid w:val="00B91BEE"/>
    <w:rsid w:val="00BA3B0A"/>
    <w:rsid w:val="00BD0556"/>
    <w:rsid w:val="00C1579A"/>
    <w:rsid w:val="00C42FCE"/>
    <w:rsid w:val="00C443B5"/>
    <w:rsid w:val="00C47F57"/>
    <w:rsid w:val="00C67713"/>
    <w:rsid w:val="00C73E6F"/>
    <w:rsid w:val="00D21FA6"/>
    <w:rsid w:val="00D37331"/>
    <w:rsid w:val="00E023E2"/>
    <w:rsid w:val="00E155FE"/>
    <w:rsid w:val="00E177B8"/>
    <w:rsid w:val="00E31AA8"/>
    <w:rsid w:val="00E365CE"/>
    <w:rsid w:val="00E4670F"/>
    <w:rsid w:val="00E71FCF"/>
    <w:rsid w:val="00E7353C"/>
    <w:rsid w:val="00E81B96"/>
    <w:rsid w:val="00E8606B"/>
    <w:rsid w:val="00EC28F4"/>
    <w:rsid w:val="00F013C3"/>
    <w:rsid w:val="00F146B6"/>
    <w:rsid w:val="00F1756B"/>
    <w:rsid w:val="00F27CAF"/>
    <w:rsid w:val="00F41978"/>
    <w:rsid w:val="00F4693B"/>
    <w:rsid w:val="00F70DB4"/>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customStyle="1" w:styleId="Bodytext4">
    <w:name w:val="Body text (4)_"/>
    <w:basedOn w:val="Noklusjumarindkopasfonts"/>
    <w:link w:val="Bodytext40"/>
    <w:rsid w:val="00237006"/>
    <w:rPr>
      <w:rFonts w:eastAsia="Times New Roman"/>
      <w:b/>
      <w:bCs/>
      <w:shd w:val="clear" w:color="auto" w:fill="FFFFFF"/>
    </w:rPr>
  </w:style>
  <w:style w:type="paragraph" w:customStyle="1" w:styleId="Bodytext40">
    <w:name w:val="Body text (4)"/>
    <w:basedOn w:val="Parasts"/>
    <w:link w:val="Bodytext4"/>
    <w:rsid w:val="00237006"/>
    <w:pPr>
      <w:shd w:val="clear" w:color="auto" w:fill="FFFFFF"/>
      <w:spacing w:after="240" w:line="317" w:lineRule="exact"/>
      <w:jc w:val="both"/>
    </w:pPr>
    <w:rPr>
      <w:rFonts w:eastAsia="Times New Roman"/>
      <w:b/>
      <w:bCs/>
    </w:rPr>
  </w:style>
  <w:style w:type="paragraph" w:styleId="Sarakstarindkopa">
    <w:name w:val="List Paragraph"/>
    <w:basedOn w:val="Parasts"/>
    <w:uiPriority w:val="34"/>
    <w:qFormat/>
    <w:rsid w:val="0023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2581</Words>
  <Characters>1472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7</cp:revision>
  <cp:lastPrinted>2017-06-19T07:12:00Z</cp:lastPrinted>
  <dcterms:created xsi:type="dcterms:W3CDTF">2026-04-10T07:18:00Z</dcterms:created>
  <dcterms:modified xsi:type="dcterms:W3CDTF">2026-04-16T11:31:00Z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