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AE311" w14:textId="611FF162" w:rsidR="00F4690F" w:rsidRPr="00504FEA" w:rsidRDefault="0012143B" w:rsidP="00F4690F">
      <w:pPr>
        <w:widowControl/>
        <w:spacing w:after="0" w:line="240" w:lineRule="auto"/>
        <w:jc w:val="right"/>
        <w:rPr>
          <w:b/>
          <w:bCs/>
          <w:iCs/>
          <w:lang w:eastAsia="en-US"/>
        </w:rPr>
      </w:pPr>
      <w:r w:rsidRPr="00504FEA">
        <w:rPr>
          <w:b/>
          <w:bCs/>
          <w:iCs/>
          <w:lang w:eastAsia="en-US"/>
        </w:rPr>
        <w:t>/Pers. A/</w:t>
      </w:r>
    </w:p>
    <w:p w14:paraId="5745CD6E" w14:textId="0189140A" w:rsidR="00F4690F" w:rsidRPr="00504FEA" w:rsidRDefault="00F4690F" w:rsidP="00F4690F">
      <w:pPr>
        <w:widowControl/>
        <w:spacing w:after="0" w:line="240" w:lineRule="auto"/>
        <w:jc w:val="right"/>
        <w:rPr>
          <w:rFonts w:eastAsia="Times New Roman"/>
          <w:lang w:val="lt-LT"/>
        </w:rPr>
      </w:pPr>
      <w:r w:rsidRPr="00504FEA">
        <w:rPr>
          <w:rFonts w:eastAsia="Times New Roman"/>
          <w:lang w:val="lt-LT"/>
        </w:rPr>
        <w:t xml:space="preserve">E-pasts: </w:t>
      </w:r>
      <w:r w:rsidR="0012143B" w:rsidRPr="00504FEA">
        <w:t>/elektroniskā pasta adrese/</w:t>
      </w:r>
    </w:p>
    <w:p w14:paraId="2BE6CF07" w14:textId="77777777" w:rsidR="00F4690F" w:rsidRPr="00504FEA" w:rsidRDefault="00F4690F" w:rsidP="00F4690F">
      <w:pPr>
        <w:widowControl/>
        <w:spacing w:after="0" w:line="240" w:lineRule="auto"/>
        <w:jc w:val="right"/>
        <w:rPr>
          <w:rFonts w:eastAsia="Times New Roman"/>
          <w:lang w:val="lt-LT"/>
        </w:rPr>
      </w:pPr>
    </w:p>
    <w:p w14:paraId="50A0FFC1" w14:textId="77777777" w:rsidR="00F4690F" w:rsidRPr="00504FEA" w:rsidRDefault="00F4690F" w:rsidP="00F4690F">
      <w:pPr>
        <w:widowControl/>
        <w:spacing w:after="0" w:line="240" w:lineRule="auto"/>
        <w:jc w:val="right"/>
        <w:rPr>
          <w:rFonts w:eastAsia="Times New Roman"/>
          <w:b/>
          <w:bCs/>
          <w:lang w:val="lt-LT"/>
        </w:rPr>
      </w:pPr>
      <w:r w:rsidRPr="00504FEA">
        <w:rPr>
          <w:rFonts w:eastAsia="Times New Roman"/>
          <w:b/>
          <w:bCs/>
          <w:lang w:val="lt-LT"/>
        </w:rPr>
        <w:t>Maksātnespējas procesa administratorei</w:t>
      </w:r>
    </w:p>
    <w:p w14:paraId="4B808281" w14:textId="18F14BE5" w:rsidR="00F4690F" w:rsidRPr="00504FEA" w:rsidRDefault="0012143B" w:rsidP="00F4690F">
      <w:pPr>
        <w:widowControl/>
        <w:spacing w:after="0" w:line="240" w:lineRule="auto"/>
        <w:jc w:val="right"/>
        <w:rPr>
          <w:rFonts w:eastAsia="Times New Roman"/>
          <w:b/>
          <w:bCs/>
          <w:lang w:val="lt-LT"/>
        </w:rPr>
      </w:pPr>
      <w:r w:rsidRPr="00504FEA">
        <w:rPr>
          <w:rFonts w:eastAsia="Times New Roman"/>
          <w:b/>
          <w:bCs/>
          <w:lang w:val="lt-LT"/>
        </w:rPr>
        <w:t>/Administrators/</w:t>
      </w:r>
    </w:p>
    <w:p w14:paraId="1C1B5E37" w14:textId="77777777" w:rsidR="00F4690F" w:rsidRPr="00504FEA" w:rsidRDefault="00F4690F" w:rsidP="00F4690F">
      <w:pPr>
        <w:widowControl/>
        <w:spacing w:after="0" w:line="240" w:lineRule="auto"/>
        <w:jc w:val="right"/>
        <w:rPr>
          <w:rFonts w:eastAsia="Times New Roman"/>
          <w:lang w:val="lt-LT"/>
        </w:rPr>
      </w:pPr>
      <w:r w:rsidRPr="00504FEA">
        <w:rPr>
          <w:rFonts w:eastAsia="Times New Roman"/>
          <w:lang w:val="lt-LT"/>
        </w:rPr>
        <w:t>Paziņošanai e-adresē</w:t>
      </w:r>
    </w:p>
    <w:p w14:paraId="60FA252B" w14:textId="77777777" w:rsidR="00F4690F" w:rsidRPr="00504FEA" w:rsidRDefault="00F4690F" w:rsidP="00F4690F">
      <w:pPr>
        <w:widowControl/>
        <w:spacing w:after="0" w:line="240" w:lineRule="auto"/>
        <w:jc w:val="right"/>
        <w:rPr>
          <w:rFonts w:eastAsia="Times New Roman"/>
          <w:lang w:val="lt-LT"/>
        </w:rPr>
      </w:pPr>
    </w:p>
    <w:p w14:paraId="7770BD82" w14:textId="77777777" w:rsidR="00F4690F" w:rsidRPr="00504FEA" w:rsidRDefault="00F4690F" w:rsidP="00F4690F">
      <w:pPr>
        <w:widowControl/>
        <w:spacing w:after="0" w:line="240" w:lineRule="auto"/>
        <w:jc w:val="right"/>
        <w:rPr>
          <w:rFonts w:eastAsia="Times New Roman"/>
          <w:lang w:val="lt-LT"/>
        </w:rPr>
      </w:pPr>
    </w:p>
    <w:p w14:paraId="3B230ABB" w14:textId="0BE1D571" w:rsidR="00F4690F" w:rsidRPr="00504FEA" w:rsidRDefault="00F4690F" w:rsidP="00F4690F">
      <w:pPr>
        <w:widowControl/>
        <w:spacing w:after="0" w:line="240" w:lineRule="auto"/>
        <w:jc w:val="center"/>
        <w:rPr>
          <w:b/>
          <w:bCs/>
          <w:iCs/>
          <w:lang w:eastAsia="en-US"/>
        </w:rPr>
      </w:pPr>
      <w:r w:rsidRPr="00504FEA">
        <w:rPr>
          <w:rFonts w:eastAsia="Times New Roman"/>
          <w:b/>
          <w:bCs/>
          <w:lang w:val="lt-LT"/>
        </w:rPr>
        <w:t xml:space="preserve">Par </w:t>
      </w:r>
      <w:r w:rsidR="0012143B" w:rsidRPr="00504FEA">
        <w:rPr>
          <w:b/>
          <w:bCs/>
          <w:iCs/>
          <w:lang w:eastAsia="en-US"/>
        </w:rPr>
        <w:t>/pers. A/</w:t>
      </w:r>
      <w:r w:rsidRPr="00504FEA">
        <w:rPr>
          <w:rFonts w:eastAsia="Times New Roman"/>
          <w:b/>
          <w:bCs/>
        </w:rPr>
        <w:t xml:space="preserve"> </w:t>
      </w:r>
      <w:r w:rsidRPr="00504FEA">
        <w:rPr>
          <w:rFonts w:eastAsia="Times New Roman"/>
          <w:b/>
          <w:bCs/>
          <w:lang w:val="lt-LT"/>
        </w:rPr>
        <w:t xml:space="preserve">sūdzību </w:t>
      </w:r>
    </w:p>
    <w:p w14:paraId="4A5F6DFE" w14:textId="25269E7F" w:rsidR="00F4690F" w:rsidRPr="00504FEA" w:rsidRDefault="00F4690F" w:rsidP="00F4690F">
      <w:pPr>
        <w:widowControl/>
        <w:spacing w:after="0" w:line="240" w:lineRule="auto"/>
        <w:jc w:val="center"/>
        <w:rPr>
          <w:rFonts w:eastAsia="Times New Roman"/>
          <w:b/>
          <w:bCs/>
          <w:lang w:val="lt-LT"/>
        </w:rPr>
      </w:pPr>
      <w:r w:rsidRPr="00504FEA">
        <w:rPr>
          <w:rFonts w:eastAsia="Times New Roman"/>
          <w:b/>
          <w:bCs/>
          <w:lang w:val="lt-LT"/>
        </w:rPr>
        <w:t xml:space="preserve">par maksātnespējas procesa administratores </w:t>
      </w:r>
      <w:r w:rsidR="0012143B" w:rsidRPr="00504FEA">
        <w:rPr>
          <w:rFonts w:eastAsia="Times New Roman"/>
          <w:b/>
          <w:bCs/>
          <w:lang w:val="lt-LT"/>
        </w:rPr>
        <w:t>/Administrators/</w:t>
      </w:r>
      <w:r w:rsidRPr="00504FEA">
        <w:rPr>
          <w:rFonts w:eastAsia="Times New Roman"/>
          <w:b/>
          <w:bCs/>
          <w:lang w:val="lt-LT"/>
        </w:rPr>
        <w:t xml:space="preserve"> rīcību </w:t>
      </w:r>
    </w:p>
    <w:p w14:paraId="4A0B7CBE" w14:textId="5CE71F6E" w:rsidR="00F4690F" w:rsidRPr="00504FEA" w:rsidRDefault="0012143B" w:rsidP="00F4690F">
      <w:pPr>
        <w:widowControl/>
        <w:spacing w:after="0" w:line="240" w:lineRule="auto"/>
        <w:jc w:val="center"/>
        <w:rPr>
          <w:rFonts w:eastAsia="Times New Roman"/>
          <w:b/>
          <w:bCs/>
          <w:lang w:val="lt-LT"/>
        </w:rPr>
      </w:pPr>
      <w:r w:rsidRPr="00504FEA">
        <w:rPr>
          <w:b/>
          <w:bCs/>
          <w:iCs/>
          <w:lang w:eastAsia="en-US"/>
        </w:rPr>
        <w:t>/</w:t>
      </w:r>
      <w:r w:rsidR="00F4690F" w:rsidRPr="00504FEA">
        <w:rPr>
          <w:b/>
          <w:bCs/>
          <w:iCs/>
          <w:lang w:eastAsia="en-US"/>
        </w:rPr>
        <w:t xml:space="preserve">SIA </w:t>
      </w:r>
      <w:r w:rsidR="00F4690F" w:rsidRPr="00504FEA">
        <w:rPr>
          <w:rFonts w:eastAsia="Times New Roman"/>
          <w:b/>
          <w:bCs/>
        </w:rPr>
        <w:t>"</w:t>
      </w:r>
      <w:r w:rsidRPr="00504FEA">
        <w:rPr>
          <w:b/>
          <w:bCs/>
        </w:rPr>
        <w:t>Nosaukums A</w:t>
      </w:r>
      <w:r w:rsidR="00F4690F" w:rsidRPr="00504FEA">
        <w:rPr>
          <w:rFonts w:eastAsia="Times New Roman"/>
          <w:b/>
          <w:bCs/>
        </w:rPr>
        <w:t>"</w:t>
      </w:r>
      <w:r w:rsidRPr="00504FEA">
        <w:rPr>
          <w:rFonts w:eastAsia="Times New Roman"/>
          <w:b/>
          <w:bCs/>
        </w:rPr>
        <w:t>/</w:t>
      </w:r>
      <w:r w:rsidR="00F4690F" w:rsidRPr="00504FEA">
        <w:rPr>
          <w:rFonts w:eastAsia="Times New Roman"/>
          <w:b/>
          <w:bCs/>
        </w:rPr>
        <w:t xml:space="preserve"> </w:t>
      </w:r>
      <w:r w:rsidR="00F4690F" w:rsidRPr="00504FEA">
        <w:rPr>
          <w:rFonts w:eastAsia="Times New Roman"/>
          <w:b/>
          <w:bCs/>
          <w:lang w:val="lt-LT"/>
        </w:rPr>
        <w:t>maksātnespējas procesā</w:t>
      </w:r>
    </w:p>
    <w:p w14:paraId="35BD6C33" w14:textId="77777777" w:rsidR="00F4690F" w:rsidRPr="00504FEA" w:rsidRDefault="00F4690F" w:rsidP="00F4690F">
      <w:pPr>
        <w:widowControl/>
        <w:spacing w:after="0" w:line="240" w:lineRule="auto"/>
        <w:jc w:val="center"/>
        <w:rPr>
          <w:rFonts w:eastAsia="Times New Roman"/>
          <w:b/>
          <w:bCs/>
          <w:lang w:val="lt-LT"/>
        </w:rPr>
      </w:pPr>
    </w:p>
    <w:p w14:paraId="3EECBEF0" w14:textId="3933E062" w:rsidR="00F4690F" w:rsidRPr="00504FEA" w:rsidRDefault="00F4690F" w:rsidP="00F4690F">
      <w:pPr>
        <w:pStyle w:val="Standard"/>
        <w:ind w:firstLine="720"/>
        <w:jc w:val="both"/>
        <w:rPr>
          <w:rFonts w:eastAsia="Times New Roman" w:cs="Times New Roman"/>
        </w:rPr>
      </w:pPr>
      <w:r w:rsidRPr="00504FEA">
        <w:rPr>
          <w:rFonts w:eastAsia="Times New Roman"/>
        </w:rPr>
        <w:t xml:space="preserve">Maksātnespējas kontroles dienestā 2025. gada 29. decembrī saņemta </w:t>
      </w:r>
      <w:r w:rsidR="0012143B" w:rsidRPr="00504FEA">
        <w:rPr>
          <w:rFonts w:cs="Times New Roman"/>
        </w:rPr>
        <w:t>/pers. A/</w:t>
      </w:r>
      <w:r w:rsidRPr="00504FEA">
        <w:rPr>
          <w:rFonts w:cs="Times New Roman"/>
        </w:rPr>
        <w:t xml:space="preserve"> (turpmāk – Iesniedzējs)</w:t>
      </w:r>
      <w:r w:rsidRPr="00504FEA">
        <w:rPr>
          <w:rFonts w:eastAsia="Times New Roman" w:cs="Times New Roman"/>
        </w:rPr>
        <w:t xml:space="preserve"> 2025. gada 23. decembra sūdzība (turpmāk – Sūdzība) par maksātnespējas procesa administratores </w:t>
      </w:r>
      <w:r w:rsidR="0012143B" w:rsidRPr="00504FEA">
        <w:rPr>
          <w:rFonts w:eastAsia="Times New Roman" w:cs="Times New Roman"/>
        </w:rPr>
        <w:t>/Administrators/</w:t>
      </w:r>
      <w:r w:rsidRPr="00504FEA">
        <w:rPr>
          <w:rFonts w:eastAsia="Times New Roman" w:cs="Times New Roman"/>
        </w:rPr>
        <w:t xml:space="preserve">, </w:t>
      </w:r>
      <w:r w:rsidR="0012143B" w:rsidRPr="00504FEA">
        <w:rPr>
          <w:rFonts w:eastAsia="Times New Roman" w:cs="Times New Roman"/>
        </w:rPr>
        <w:t>/</w:t>
      </w:r>
      <w:r w:rsidRPr="00504FEA">
        <w:rPr>
          <w:rFonts w:eastAsia="Times New Roman" w:cs="Times New Roman"/>
        </w:rPr>
        <w:t xml:space="preserve">amata apliecības </w:t>
      </w:r>
      <w:r w:rsidR="0012143B" w:rsidRPr="00504FEA">
        <w:rPr>
          <w:rFonts w:eastAsia="Times New Roman" w:cs="Times New Roman"/>
        </w:rPr>
        <w:t>numurs/</w:t>
      </w:r>
      <w:r w:rsidRPr="00504FEA">
        <w:rPr>
          <w:rFonts w:eastAsia="Times New Roman" w:cs="Times New Roman"/>
        </w:rPr>
        <w:t xml:space="preserve">, (turpmāk – Administratore) rīcību </w:t>
      </w:r>
      <w:r w:rsidR="0012143B" w:rsidRPr="00504FEA">
        <w:rPr>
          <w:rFonts w:eastAsia="Times New Roman" w:cs="Times New Roman"/>
        </w:rPr>
        <w:t>/</w:t>
      </w:r>
      <w:r w:rsidRPr="00504FEA">
        <w:rPr>
          <w:rFonts w:eastAsia="Times New Roman" w:cs="Times New Roman"/>
        </w:rPr>
        <w:t>SIA "</w:t>
      </w:r>
      <w:r w:rsidR="0012143B" w:rsidRPr="00504FEA">
        <w:t>Nosaukums A</w:t>
      </w:r>
      <w:r w:rsidRPr="00504FEA">
        <w:rPr>
          <w:rFonts w:eastAsia="Times New Roman" w:cs="Times New Roman"/>
        </w:rPr>
        <w:t>"</w:t>
      </w:r>
      <w:r w:rsidR="0012143B" w:rsidRPr="00504FEA">
        <w:rPr>
          <w:rFonts w:eastAsia="Times New Roman" w:cs="Times New Roman"/>
        </w:rPr>
        <w:t>/</w:t>
      </w:r>
      <w:r w:rsidRPr="00504FEA">
        <w:rPr>
          <w:rFonts w:eastAsia="Times New Roman" w:cs="Times New Roman"/>
        </w:rPr>
        <w:t xml:space="preserve">, </w:t>
      </w:r>
      <w:r w:rsidR="0012143B" w:rsidRPr="00504FEA">
        <w:rPr>
          <w:rFonts w:eastAsia="Times New Roman" w:cs="Times New Roman"/>
        </w:rPr>
        <w:t>/</w:t>
      </w:r>
      <w:r w:rsidRPr="00504FEA">
        <w:rPr>
          <w:rFonts w:eastAsia="Times New Roman" w:cs="Times New Roman"/>
        </w:rPr>
        <w:t xml:space="preserve">reģistrācijas </w:t>
      </w:r>
      <w:r w:rsidR="0012143B" w:rsidRPr="00504FEA">
        <w:rPr>
          <w:rFonts w:eastAsia="Times New Roman" w:cs="Times New Roman"/>
        </w:rPr>
        <w:t>numurs/</w:t>
      </w:r>
      <w:r w:rsidRPr="00504FEA">
        <w:rPr>
          <w:rFonts w:eastAsia="Times New Roman" w:cs="Times New Roman"/>
        </w:rPr>
        <w:t>, (turpmāk – Parādnieks) maksātnespējas procesā.</w:t>
      </w:r>
    </w:p>
    <w:p w14:paraId="1B65D1EF" w14:textId="77777777" w:rsidR="00F4690F" w:rsidRPr="00504FEA" w:rsidRDefault="00F4690F" w:rsidP="00F4690F">
      <w:pPr>
        <w:widowControl/>
        <w:spacing w:after="0" w:line="240" w:lineRule="auto"/>
        <w:ind w:firstLine="709"/>
        <w:jc w:val="both"/>
        <w:rPr>
          <w:rFonts w:eastAsia="Times New Roman"/>
        </w:rPr>
      </w:pPr>
      <w:r w:rsidRPr="00504FEA">
        <w:rPr>
          <w:rFonts w:eastAsia="Times New Roman"/>
        </w:rPr>
        <w:t xml:space="preserve">Izskatot Maksātnespējas kontroles dienesta rīcībā esošo informāciju par Parādnieka maksātnespējas procesa gaitu, </w:t>
      </w:r>
      <w:r w:rsidRPr="00504FEA">
        <w:rPr>
          <w:rFonts w:eastAsia="Times New Roman"/>
          <w:b/>
        </w:rPr>
        <w:t xml:space="preserve">konstatēts </w:t>
      </w:r>
      <w:r w:rsidRPr="00504FEA">
        <w:rPr>
          <w:rFonts w:eastAsia="Times New Roman"/>
        </w:rPr>
        <w:t>turpmāk minētais.</w:t>
      </w:r>
    </w:p>
    <w:p w14:paraId="2C338203" w14:textId="4391912A" w:rsidR="00F4690F" w:rsidRPr="00504FEA" w:rsidRDefault="00F4690F" w:rsidP="00F4690F">
      <w:pPr>
        <w:autoSpaceDE w:val="0"/>
        <w:autoSpaceDN w:val="0"/>
        <w:adjustRightInd w:val="0"/>
        <w:spacing w:after="0" w:line="240" w:lineRule="auto"/>
        <w:ind w:firstLine="709"/>
        <w:jc w:val="both"/>
        <w:rPr>
          <w:rFonts w:eastAsia="Times New Roman"/>
        </w:rPr>
      </w:pPr>
      <w:r w:rsidRPr="00504FEA">
        <w:rPr>
          <w:rFonts w:eastAsia="Times New Roman"/>
        </w:rPr>
        <w:t xml:space="preserve">[1] Ar </w:t>
      </w:r>
      <w:r w:rsidR="0012143B" w:rsidRPr="00504FEA">
        <w:rPr>
          <w:rFonts w:eastAsia="Times New Roman"/>
        </w:rPr>
        <w:t>/</w:t>
      </w:r>
      <w:r w:rsidRPr="00504FEA">
        <w:rPr>
          <w:rFonts w:eastAsia="Times New Roman"/>
        </w:rPr>
        <w:t>tiesas</w:t>
      </w:r>
      <w:r w:rsidR="0012143B" w:rsidRPr="00504FEA">
        <w:rPr>
          <w:rFonts w:eastAsia="Times New Roman"/>
        </w:rPr>
        <w:t xml:space="preserve"> nosaukums/</w:t>
      </w:r>
      <w:r w:rsidRPr="00504FEA">
        <w:rPr>
          <w:rFonts w:eastAsia="Times New Roman"/>
        </w:rPr>
        <w:t xml:space="preserve"> </w:t>
      </w:r>
      <w:r w:rsidR="0012143B" w:rsidRPr="00504FEA">
        <w:rPr>
          <w:rFonts w:eastAsia="Times New Roman"/>
        </w:rPr>
        <w:t>/datums/</w:t>
      </w:r>
      <w:r w:rsidRPr="00504FEA">
        <w:rPr>
          <w:rFonts w:eastAsia="Times New Roman"/>
        </w:rPr>
        <w:t xml:space="preserve"> spriedumu lietā </w:t>
      </w:r>
      <w:r w:rsidR="0012143B" w:rsidRPr="00504FEA">
        <w:rPr>
          <w:rFonts w:eastAsia="Times New Roman"/>
        </w:rPr>
        <w:t>/lietas numurs/</w:t>
      </w:r>
      <w:r w:rsidRPr="00504FEA">
        <w:rPr>
          <w:rFonts w:eastAsia="Times New Roman"/>
        </w:rPr>
        <w:t xml:space="preserve"> pasludināts Parādnieka maksātnespējas process un par maksātnespējas procesa administratoru iecelta Administratore. Parādnieka maksātnespējas process ir izbeigts </w:t>
      </w:r>
      <w:r w:rsidR="0012143B" w:rsidRPr="00504FEA">
        <w:rPr>
          <w:rFonts w:eastAsia="Times New Roman"/>
        </w:rPr>
        <w:t>/datums/</w:t>
      </w:r>
      <w:r w:rsidRPr="00504FEA">
        <w:rPr>
          <w:rFonts w:eastAsia="Times New Roman"/>
        </w:rPr>
        <w:t>.</w:t>
      </w:r>
    </w:p>
    <w:p w14:paraId="4F0F6BCE" w14:textId="77777777" w:rsidR="00F4690F" w:rsidRPr="00504FEA" w:rsidRDefault="00F4690F" w:rsidP="00F4690F">
      <w:pPr>
        <w:autoSpaceDE w:val="0"/>
        <w:autoSpaceDN w:val="0"/>
        <w:adjustRightInd w:val="0"/>
        <w:spacing w:after="0" w:line="240" w:lineRule="auto"/>
        <w:ind w:firstLine="709"/>
        <w:jc w:val="both"/>
        <w:rPr>
          <w:rFonts w:eastAsia="Times New Roman"/>
        </w:rPr>
      </w:pPr>
      <w:r w:rsidRPr="00504FEA">
        <w:rPr>
          <w:rFonts w:eastAsia="Times New Roman"/>
        </w:rPr>
        <w:t>[2] Sūdzībā norādīts turpmāk minētais.</w:t>
      </w:r>
    </w:p>
    <w:p w14:paraId="1DA798F3" w14:textId="04FCEDA5" w:rsidR="00F4690F" w:rsidRPr="00504FEA" w:rsidRDefault="00F4690F" w:rsidP="00F4690F">
      <w:pPr>
        <w:autoSpaceDE w:val="0"/>
        <w:autoSpaceDN w:val="0"/>
        <w:adjustRightInd w:val="0"/>
        <w:spacing w:after="0" w:line="240" w:lineRule="auto"/>
        <w:ind w:firstLine="709"/>
        <w:jc w:val="both"/>
        <w:rPr>
          <w:i/>
          <w:iCs/>
        </w:rPr>
      </w:pPr>
      <w:r w:rsidRPr="00504FEA">
        <w:rPr>
          <w:iCs/>
        </w:rPr>
        <w:t xml:space="preserve">[2.1] Maksātnespējas procesa laikā Administratore konstatēja </w:t>
      </w:r>
      <w:r w:rsidRPr="00504FEA">
        <w:t>Maksātnespējas likuma 72.</w:t>
      </w:r>
      <w:r w:rsidRPr="00504FEA">
        <w:rPr>
          <w:vertAlign w:val="superscript"/>
        </w:rPr>
        <w:t>1</w:t>
      </w:r>
      <w:r w:rsidRPr="00504FEA">
        <w:t xml:space="preserve"> panta pārkāpumu un 2023. gada 27. aprīlī cēla tiesā prasību pret Parādnieka bijušajiem valdes locekļiem </w:t>
      </w:r>
      <w:r w:rsidR="0012143B" w:rsidRPr="00504FEA">
        <w:t>/pers. B/</w:t>
      </w:r>
      <w:r w:rsidRPr="00504FEA">
        <w:t xml:space="preserve"> un </w:t>
      </w:r>
      <w:r w:rsidR="0012143B" w:rsidRPr="00504FEA">
        <w:t>/pers. C/</w:t>
      </w:r>
      <w:r w:rsidRPr="00504FEA">
        <w:t xml:space="preserve"> (turpmāk - Atbildētāji) par zaudējumu piedziņu. Tiesas procesam Administratore pilnvaroja zvērinātu advokātu </w:t>
      </w:r>
      <w:r w:rsidR="0012143B" w:rsidRPr="00504FEA">
        <w:t>/pers. D/</w:t>
      </w:r>
      <w:r w:rsidRPr="00504FEA">
        <w:t xml:space="preserve">. Ar 2024. gada 12. janvāra spriedumu lietā </w:t>
      </w:r>
      <w:r w:rsidR="00D1754D" w:rsidRPr="00504FEA">
        <w:t>/lietas numurs/</w:t>
      </w:r>
      <w:r w:rsidRPr="00504FEA">
        <w:t xml:space="preserve"> (turpmāk – Spriedums) tiesa nolēma apmierināt prasību un piedzīt solidāri no Atbildētājiem zaudējumus 23 573,96 </w:t>
      </w:r>
      <w:proofErr w:type="spellStart"/>
      <w:r w:rsidRPr="00504FEA">
        <w:rPr>
          <w:i/>
          <w:iCs/>
        </w:rPr>
        <w:t>euro</w:t>
      </w:r>
      <w:proofErr w:type="spellEnd"/>
      <w:r w:rsidRPr="00504FEA">
        <w:rPr>
          <w:i/>
          <w:iCs/>
        </w:rPr>
        <w:t>.</w:t>
      </w:r>
    </w:p>
    <w:p w14:paraId="41A37752" w14:textId="77777777" w:rsidR="00F4690F" w:rsidRPr="00504FEA" w:rsidRDefault="00F4690F" w:rsidP="00F4690F">
      <w:pPr>
        <w:autoSpaceDE w:val="0"/>
        <w:autoSpaceDN w:val="0"/>
        <w:adjustRightInd w:val="0"/>
        <w:spacing w:after="0" w:line="240" w:lineRule="auto"/>
        <w:ind w:firstLine="709"/>
        <w:jc w:val="both"/>
      </w:pPr>
      <w:r w:rsidRPr="00504FEA">
        <w:t xml:space="preserve">Atbildētāji Spriedumu pārsūdzēja un ar 2025. gada 12. janvāra [acīmredzama pārrakstīšanās kļūda, sprieduma datums ir 17. janvāris] spriedumu (turpmāk – Apelācijas instances spriedums) sākotnējā prasība par 23 573,96 </w:t>
      </w:r>
      <w:proofErr w:type="spellStart"/>
      <w:r w:rsidRPr="00504FEA">
        <w:rPr>
          <w:i/>
          <w:iCs/>
        </w:rPr>
        <w:t>euro</w:t>
      </w:r>
      <w:proofErr w:type="spellEnd"/>
      <w:r w:rsidRPr="00504FEA">
        <w:rPr>
          <w:i/>
          <w:iCs/>
        </w:rPr>
        <w:t xml:space="preserve"> </w:t>
      </w:r>
      <w:r w:rsidRPr="00504FEA">
        <w:t>zaudējumu piedziņu tika noraidīta.</w:t>
      </w:r>
    </w:p>
    <w:p w14:paraId="372564D9" w14:textId="7809F62A" w:rsidR="00F4690F" w:rsidRPr="00504FEA" w:rsidRDefault="00F4690F" w:rsidP="00F4690F">
      <w:pPr>
        <w:autoSpaceDE w:val="0"/>
        <w:autoSpaceDN w:val="0"/>
        <w:adjustRightInd w:val="0"/>
        <w:spacing w:after="0" w:line="240" w:lineRule="auto"/>
        <w:ind w:firstLine="709"/>
        <w:jc w:val="both"/>
        <w:rPr>
          <w:rFonts w:eastAsia="Times New Roman"/>
        </w:rPr>
      </w:pPr>
      <w:r w:rsidRPr="00504FEA">
        <w:t xml:space="preserve">2025. gada 23. janvāra e-pasta sarakstē Iesniedzējs pauda Administratorei viņa viedokli par kasācijas sūdzības nepieciešamību un pamatotību, tomēr Administratore ieteikumu neņēma vērā, ar 4. februāra paziņojumu </w:t>
      </w:r>
      <w:r w:rsidR="00797E75" w:rsidRPr="00504FEA">
        <w:t>/numurs/</w:t>
      </w:r>
      <w:r w:rsidRPr="00504FEA">
        <w:t xml:space="preserve"> noraidīja ieteikumu par kasācijas sūdzības iesniegšanu un kasācijas sūdzību neiesniedza.</w:t>
      </w:r>
    </w:p>
    <w:p w14:paraId="309AAD6D" w14:textId="77777777" w:rsidR="00F4690F" w:rsidRPr="00504FEA" w:rsidRDefault="00F4690F" w:rsidP="00F4690F">
      <w:pPr>
        <w:autoSpaceDE w:val="0"/>
        <w:autoSpaceDN w:val="0"/>
        <w:adjustRightInd w:val="0"/>
        <w:spacing w:after="0" w:line="240" w:lineRule="auto"/>
        <w:ind w:firstLine="709"/>
        <w:jc w:val="both"/>
      </w:pPr>
      <w:r w:rsidRPr="00504FEA">
        <w:lastRenderedPageBreak/>
        <w:t>[2.2] Saskaņā ar Sūdzībā norādīto Iesniedzējs lūdz Maksātnespējas kontroles dienestu konstatēt pārkāpumu Administratores rīcībā, neizmantojot visus iespējamos argumentus, pierādījumus un resursus, līdz ar to nepārstāvot pilnībā kreditoru intereses.</w:t>
      </w:r>
    </w:p>
    <w:p w14:paraId="38FC0B36" w14:textId="77777777" w:rsidR="00F4690F" w:rsidRPr="00504FEA" w:rsidRDefault="00F4690F" w:rsidP="00F4690F">
      <w:pPr>
        <w:autoSpaceDE w:val="0"/>
        <w:autoSpaceDN w:val="0"/>
        <w:adjustRightInd w:val="0"/>
        <w:spacing w:after="0" w:line="240" w:lineRule="auto"/>
        <w:ind w:firstLine="709"/>
        <w:jc w:val="both"/>
      </w:pPr>
      <w:r w:rsidRPr="00504FEA">
        <w:t>Iesniedzējs norāda uz vairākām nepilnībām tiesvedības gaitā, tostarp uz Iesniedzēja kā būtiska liecinieka nepieaicināšanu, Administratores personīgu nepiedalīšanos tiesas sēdēs, nepietiekamu Administratores tiesiskā pārstāvja sagatavotību un nereaģēšanu uz pretējās puses sniegtajiem, iespējami maldinošajiem paskaidrojumiem. Tāpat Iesniedzējs norāda uz to, ka tiesai netika pienācīgi norādīti iztrūkstošie grāmatvedības dokumenti, konstatētie, bet neprecizētie darījumi un būtiskas neatbilstības starp parādnieka bankas kontu izdrukām un VID reģistru datiem. Iesniedzējs uzskata, ka šo apstākļu nepilnīga izklāstīšana un neizmantošana tiesvedībā būtiski ietekmēja lietas iznākumu un līdz ar to arī kreditoru tiesību aizsardzību.</w:t>
      </w:r>
    </w:p>
    <w:p w14:paraId="3846DD93" w14:textId="77777777" w:rsidR="00F4690F" w:rsidRPr="00504FEA" w:rsidRDefault="00F4690F" w:rsidP="00F4690F">
      <w:pPr>
        <w:autoSpaceDE w:val="0"/>
        <w:autoSpaceDN w:val="0"/>
        <w:adjustRightInd w:val="0"/>
        <w:spacing w:after="0" w:line="240" w:lineRule="auto"/>
        <w:ind w:firstLine="709"/>
        <w:jc w:val="both"/>
      </w:pPr>
      <w:r w:rsidRPr="00504FEA">
        <w:t>[3] </w:t>
      </w:r>
      <w:r w:rsidRPr="00504FEA">
        <w:rPr>
          <w:rFonts w:eastAsia="Times New Roman"/>
        </w:rPr>
        <w:t xml:space="preserve">Izvērtējot Sūdzību, kā arī maksātnespējas procesu reglamentējošās tiesību normas, </w:t>
      </w:r>
      <w:r w:rsidRPr="00504FEA">
        <w:rPr>
          <w:rFonts w:eastAsia="Times New Roman"/>
          <w:b/>
        </w:rPr>
        <w:t xml:space="preserve">secināms </w:t>
      </w:r>
      <w:r w:rsidRPr="00504FEA">
        <w:rPr>
          <w:rFonts w:eastAsia="Times New Roman"/>
        </w:rPr>
        <w:t>turpmāk minētais.</w:t>
      </w:r>
    </w:p>
    <w:p w14:paraId="11AF2AC5" w14:textId="77777777" w:rsidR="00F4690F" w:rsidRPr="00504FEA" w:rsidRDefault="00F4690F" w:rsidP="00F4690F">
      <w:pPr>
        <w:pStyle w:val="Default"/>
        <w:ind w:firstLine="709"/>
        <w:jc w:val="both"/>
        <w:rPr>
          <w:rFonts w:eastAsia="Times New Roman"/>
        </w:rPr>
      </w:pPr>
      <w:r w:rsidRPr="00504FEA">
        <w:rPr>
          <w:rFonts w:eastAsia="Times New Roman"/>
        </w:rPr>
        <w:t>Maksātnespējas likuma 174.</w:t>
      </w:r>
      <w:r w:rsidRPr="00504FEA">
        <w:rPr>
          <w:rFonts w:eastAsia="Times New Roman"/>
          <w:vertAlign w:val="superscript"/>
        </w:rPr>
        <w:t>1 </w:t>
      </w:r>
      <w:r w:rsidRPr="00504FEA">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08087D4B" w14:textId="77777777" w:rsidR="00F4690F" w:rsidRPr="00504FEA" w:rsidRDefault="00F4690F" w:rsidP="00F4690F">
      <w:pPr>
        <w:tabs>
          <w:tab w:val="left" w:pos="993"/>
          <w:tab w:val="left" w:pos="1134"/>
        </w:tabs>
        <w:spacing w:after="0" w:line="240" w:lineRule="auto"/>
        <w:ind w:firstLine="709"/>
        <w:jc w:val="both"/>
        <w:rPr>
          <w:shd w:val="clear" w:color="auto" w:fill="FFFFFF"/>
        </w:rPr>
      </w:pPr>
      <w:r w:rsidRPr="00504FEA">
        <w:t xml:space="preserve">Savukārt Maksātnespējas likuma 176. panta pirmajā daļā noteikts, ka </w:t>
      </w:r>
      <w:r w:rsidRPr="00504FEA">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 Maksātnespējas kontroles dienestam sūdzību par administratora vai tiesiskās aizsardzības procesa uzraugošās personas rīcību.</w:t>
      </w:r>
    </w:p>
    <w:p w14:paraId="48BB62CA" w14:textId="77777777" w:rsidR="00F4690F" w:rsidRPr="00504FEA" w:rsidRDefault="00F4690F" w:rsidP="00F4690F">
      <w:pPr>
        <w:tabs>
          <w:tab w:val="left" w:pos="993"/>
          <w:tab w:val="left" w:pos="1134"/>
        </w:tabs>
        <w:spacing w:after="0" w:line="240" w:lineRule="auto"/>
        <w:ind w:firstLine="709"/>
        <w:jc w:val="both"/>
        <w:rPr>
          <w:rFonts w:eastAsia="Times New Roman"/>
        </w:rPr>
      </w:pPr>
      <w:r w:rsidRPr="00504FEA">
        <w:rPr>
          <w:shd w:val="clear" w:color="auto" w:fill="FFFFFF"/>
        </w:rPr>
        <w:t>[3.1] </w:t>
      </w:r>
      <w:r w:rsidRPr="00504FEA">
        <w:rPr>
          <w:rFonts w:eastAsia="Times New Roman"/>
        </w:rPr>
        <w:t>Iepazīstoties ar Parādnieka maksātnespējas procesa lietas apstākļiem, secināms, ka, izskatot Sūdzību, nav nepieciešami Administratores paskaidrojumi. Proti, Maksātnespējas kontroles dienesta rīcībā esošās ziņas ir pietiekamas Sūdzības izskatīšanai.</w:t>
      </w:r>
    </w:p>
    <w:p w14:paraId="57C9B03B" w14:textId="77777777" w:rsidR="00F4690F" w:rsidRPr="00504FEA" w:rsidRDefault="00F4690F" w:rsidP="00F4690F">
      <w:pPr>
        <w:tabs>
          <w:tab w:val="left" w:pos="993"/>
          <w:tab w:val="left" w:pos="1134"/>
        </w:tabs>
        <w:spacing w:after="0" w:line="240" w:lineRule="auto"/>
        <w:ind w:firstLine="709"/>
        <w:jc w:val="both"/>
        <w:rPr>
          <w:iCs/>
          <w:lang w:eastAsia="en-US"/>
        </w:rPr>
      </w:pPr>
      <w:r w:rsidRPr="00504FEA">
        <w:rPr>
          <w:rFonts w:eastAsia="Times New Roman"/>
        </w:rPr>
        <w:t>[3.2] </w:t>
      </w:r>
      <w:r w:rsidRPr="00504FEA">
        <w:rPr>
          <w:iCs/>
          <w:lang w:eastAsia="en-US"/>
        </w:rPr>
        <w:t>Sūdzībā izteikta pretenzija par Administratores rīcību apelācijas instancē, kā arī neceļot kasācijas sūdzību par Apelācijas instances spriedumu.</w:t>
      </w:r>
    </w:p>
    <w:p w14:paraId="6F7AA0E5" w14:textId="484AB34C" w:rsidR="00F4690F" w:rsidRPr="00504FEA" w:rsidRDefault="00F4690F" w:rsidP="00F4690F">
      <w:pPr>
        <w:autoSpaceDE w:val="0"/>
        <w:autoSpaceDN w:val="0"/>
        <w:adjustRightInd w:val="0"/>
        <w:spacing w:after="0" w:line="240" w:lineRule="auto"/>
        <w:ind w:firstLine="709"/>
        <w:jc w:val="both"/>
        <w:rPr>
          <w:i/>
          <w:iCs/>
        </w:rPr>
      </w:pPr>
      <w:r w:rsidRPr="00504FEA">
        <w:rPr>
          <w:rFonts w:eastAsia="Times New Roman"/>
        </w:rPr>
        <w:t xml:space="preserve">Maksātnespējas kontroles dienests no Sūdzības, kā arī no tā rīcībā esošās informācijas  konstatē, ka </w:t>
      </w:r>
      <w:r w:rsidRPr="00504FEA">
        <w:rPr>
          <w:iCs/>
        </w:rPr>
        <w:t xml:space="preserve">maksātnespējas procesa laikā Administratore </w:t>
      </w:r>
      <w:r w:rsidRPr="00504FEA">
        <w:t xml:space="preserve">2023. gada 27. aprīlī cēla tiesā prasību pret Atbildētājiem par zaudējumu piedziņu. Tiesas procesam Administratore pilnvaroja zvērinātu advokātu </w:t>
      </w:r>
      <w:r w:rsidR="00960F88" w:rsidRPr="00504FEA">
        <w:t>/pers. D/</w:t>
      </w:r>
      <w:r w:rsidRPr="00504FEA">
        <w:t xml:space="preserve">. Ar 2024. gada 12. janvāra Spriedumu tiesa nolēma apmierināt prasību un piedzīt solidāri no Atbildētājiem zaudējumus 23 573,96 </w:t>
      </w:r>
      <w:proofErr w:type="spellStart"/>
      <w:r w:rsidRPr="00504FEA">
        <w:rPr>
          <w:i/>
          <w:iCs/>
        </w:rPr>
        <w:t>euro</w:t>
      </w:r>
      <w:proofErr w:type="spellEnd"/>
      <w:r w:rsidRPr="00504FEA">
        <w:rPr>
          <w:i/>
          <w:iCs/>
        </w:rPr>
        <w:t>.</w:t>
      </w:r>
    </w:p>
    <w:p w14:paraId="4E7B6CBF" w14:textId="77777777" w:rsidR="00F4690F" w:rsidRPr="00504FEA" w:rsidRDefault="00F4690F" w:rsidP="00F4690F">
      <w:pPr>
        <w:tabs>
          <w:tab w:val="left" w:pos="993"/>
          <w:tab w:val="left" w:pos="1134"/>
        </w:tabs>
        <w:spacing w:after="0" w:line="240" w:lineRule="auto"/>
        <w:ind w:firstLine="709"/>
        <w:jc w:val="both"/>
        <w:rPr>
          <w:iCs/>
          <w:lang w:eastAsia="en-US"/>
        </w:rPr>
      </w:pPr>
      <w:r w:rsidRPr="00504FEA">
        <w:t xml:space="preserve">Atbildētāji Spriedumu pārsūdzēja un ar 2025. gada 17. janvāra Apelācijas instances spriedumu sākotnējā prasība par 23 573,96 </w:t>
      </w:r>
      <w:proofErr w:type="spellStart"/>
      <w:r w:rsidRPr="00504FEA">
        <w:rPr>
          <w:i/>
          <w:iCs/>
        </w:rPr>
        <w:t>euro</w:t>
      </w:r>
      <w:proofErr w:type="spellEnd"/>
      <w:r w:rsidRPr="00504FEA">
        <w:rPr>
          <w:i/>
          <w:iCs/>
        </w:rPr>
        <w:t xml:space="preserve"> </w:t>
      </w:r>
      <w:r w:rsidRPr="00504FEA">
        <w:t>zaudējumu piedziņu tika noraidīta.</w:t>
      </w:r>
    </w:p>
    <w:p w14:paraId="7007C974" w14:textId="26BC8212" w:rsidR="00F4690F" w:rsidRPr="00504FEA" w:rsidRDefault="00F4690F" w:rsidP="00F4690F">
      <w:pPr>
        <w:tabs>
          <w:tab w:val="left" w:pos="993"/>
          <w:tab w:val="left" w:pos="1134"/>
        </w:tabs>
        <w:spacing w:after="0" w:line="240" w:lineRule="auto"/>
        <w:ind w:firstLine="709"/>
        <w:jc w:val="both"/>
        <w:rPr>
          <w:iCs/>
          <w:lang w:eastAsia="en-US"/>
        </w:rPr>
      </w:pPr>
      <w:r w:rsidRPr="00504FEA">
        <w:rPr>
          <w:iCs/>
          <w:lang w:eastAsia="en-US"/>
        </w:rPr>
        <w:t xml:space="preserve">Tāpat no Sūdzības, kā arī no Maksātnespējas kontroles dienesta rīcībā esošās informācijas izriet, ka 2025. gada 4. februārī Administratore ir sagatavojusi un nosūtījusi kreditoriem, tajā skaitā Iesniedzējam, paziņojumu </w:t>
      </w:r>
      <w:r w:rsidR="00960F88" w:rsidRPr="00504FEA">
        <w:rPr>
          <w:iCs/>
          <w:lang w:eastAsia="en-US"/>
        </w:rPr>
        <w:t>/numurs/</w:t>
      </w:r>
      <w:r w:rsidRPr="00504FEA">
        <w:rPr>
          <w:iCs/>
          <w:lang w:eastAsia="en-US"/>
        </w:rPr>
        <w:t xml:space="preserve"> Parādnieka maksātnespējas procesā.</w:t>
      </w:r>
    </w:p>
    <w:p w14:paraId="75C860D2" w14:textId="75F09B5D" w:rsidR="00F4690F" w:rsidRPr="00504FEA" w:rsidRDefault="00F4690F" w:rsidP="00F4690F">
      <w:pPr>
        <w:tabs>
          <w:tab w:val="left" w:pos="993"/>
          <w:tab w:val="left" w:pos="1134"/>
        </w:tabs>
        <w:spacing w:after="0" w:line="240" w:lineRule="auto"/>
        <w:ind w:firstLine="567"/>
        <w:jc w:val="both"/>
        <w:rPr>
          <w:iCs/>
          <w:lang w:eastAsia="en-US"/>
        </w:rPr>
      </w:pPr>
      <w:r w:rsidRPr="00504FEA">
        <w:rPr>
          <w:iCs/>
          <w:lang w:eastAsia="en-US"/>
        </w:rPr>
        <w:t xml:space="preserve"> Administratore minētajā paziņojumā norāda, ka Apelācijas instances spriedumā paustie tiesas argumenti ir motivēti un pamatoti ar normatīvajiem aktiem un tiesu praksi. Neskatoties uz faktu, ka ir konstatējamas atsevišķas neprecizitātes, to apmērs un apjoms nesasniedz tādu līmeni, lai būtu pamats kasācijas tiesvedības ierosināšanai. Ievērojot iepriekš minēto, Administratore nesaskata Civilprocesa likumā noteikto pamatu kasācijas sūdzības iesniegšanai</w:t>
      </w:r>
      <w:r w:rsidR="00D63EDB" w:rsidRPr="00504FEA">
        <w:rPr>
          <w:iCs/>
          <w:lang w:eastAsia="en-US"/>
        </w:rPr>
        <w:t> </w:t>
      </w:r>
      <w:r w:rsidRPr="00504FEA">
        <w:rPr>
          <w:iCs/>
          <w:lang w:eastAsia="en-US"/>
        </w:rPr>
        <w:t>–</w:t>
      </w:r>
      <w:r w:rsidR="00D63EDB" w:rsidRPr="00504FEA">
        <w:rPr>
          <w:iCs/>
          <w:lang w:eastAsia="en-US"/>
        </w:rPr>
        <w:t> </w:t>
      </w:r>
      <w:r w:rsidRPr="00504FEA">
        <w:rPr>
          <w:iCs/>
          <w:lang w:eastAsia="en-US"/>
        </w:rPr>
        <w:t>nav konstatējama materiālo tiesību normu nepareiza piemērošana un nav konstatēti tādi procesuālo tiesību pārkāpumi, kas noveduši vai varētu novest pie lietas nepareizas izspriešanas atbilstoši Civilprocesa likuma 451. un 452. pantam.</w:t>
      </w:r>
    </w:p>
    <w:p w14:paraId="233757E5" w14:textId="77777777" w:rsidR="00F4690F" w:rsidRPr="00504FEA" w:rsidRDefault="00F4690F" w:rsidP="00F4690F">
      <w:pPr>
        <w:pStyle w:val="Bezatstarpm"/>
        <w:ind w:firstLine="709"/>
        <w:jc w:val="both"/>
        <w:rPr>
          <w:rFonts w:ascii="Times New Roman" w:hAnsi="Times New Roman"/>
          <w:iCs/>
          <w:sz w:val="24"/>
          <w:szCs w:val="24"/>
        </w:rPr>
      </w:pPr>
      <w:r w:rsidRPr="00504FEA">
        <w:rPr>
          <w:rFonts w:ascii="Times New Roman" w:hAnsi="Times New Roman"/>
          <w:iCs/>
          <w:sz w:val="24"/>
          <w:szCs w:val="24"/>
        </w:rPr>
        <w:t xml:space="preserve">Administratore papildus norāda, ka par Atbildētāju iespējami pretlikumīgajām darbībām, pamatojoties uz Iesniedzēja iesniegumiem, attiecīgās darbības jau tiek vērtētas krimināllietu ietvaros. </w:t>
      </w:r>
    </w:p>
    <w:p w14:paraId="1D33AC8F" w14:textId="77777777" w:rsidR="00F4690F" w:rsidRPr="00504FEA" w:rsidRDefault="00F4690F" w:rsidP="00F4690F">
      <w:pPr>
        <w:pStyle w:val="Bezatstarpm"/>
        <w:ind w:firstLine="709"/>
        <w:jc w:val="both"/>
        <w:rPr>
          <w:rFonts w:ascii="Times New Roman" w:hAnsi="Times New Roman"/>
          <w:sz w:val="24"/>
          <w:szCs w:val="24"/>
        </w:rPr>
      </w:pPr>
      <w:r w:rsidRPr="00504FEA">
        <w:rPr>
          <w:rFonts w:ascii="Times New Roman" w:hAnsi="Times New Roman"/>
          <w:sz w:val="24"/>
          <w:szCs w:val="24"/>
        </w:rPr>
        <w:t xml:space="preserve">Maksātnespējas kontroles dienests vērš uzmanību, ka atbilstoši vispārējiem tiesību principiem, tiesības izmantojamas un pienākumi pildāmi labā ticībā un savlaicīgi. Maksātnespējas likuma 176. pantā ir noteikti konkrēti termiņi, kādos ir iesniedzamas sūdzības </w:t>
      </w:r>
      <w:r w:rsidRPr="00504FEA">
        <w:rPr>
          <w:rFonts w:ascii="Times New Roman" w:hAnsi="Times New Roman"/>
          <w:sz w:val="24"/>
          <w:szCs w:val="24"/>
        </w:rPr>
        <w:lastRenderedPageBreak/>
        <w:t xml:space="preserve">Maksātnespējas kontroles dienestā, ja personas likumiskās tiesības ir </w:t>
      </w:r>
      <w:proofErr w:type="spellStart"/>
      <w:r w:rsidRPr="00504FEA">
        <w:rPr>
          <w:rFonts w:ascii="Times New Roman" w:hAnsi="Times New Roman"/>
          <w:sz w:val="24"/>
          <w:szCs w:val="24"/>
        </w:rPr>
        <w:t>aizskārusi</w:t>
      </w:r>
      <w:proofErr w:type="spellEnd"/>
      <w:r w:rsidRPr="00504FEA">
        <w:rPr>
          <w:rFonts w:ascii="Times New Roman" w:hAnsi="Times New Roman"/>
          <w:sz w:val="24"/>
          <w:szCs w:val="24"/>
        </w:rPr>
        <w:t xml:space="preserve"> maksātnespējas procesa administratora rīcība. Proti, saskaņā ar Maksātnespējas likuma 176. panta otro daļu personas, kuras likumiskās tiesības ir aizskartas, sūdzību iesniedz triju mēnešu laikā no dienas, kad konstatēta rīcība, ar kuru aizskartas personas tiesības.</w:t>
      </w:r>
    </w:p>
    <w:p w14:paraId="626F9E8C" w14:textId="77777777" w:rsidR="00F4690F" w:rsidRPr="00504FEA" w:rsidRDefault="00F4690F" w:rsidP="00F4690F">
      <w:pPr>
        <w:pStyle w:val="Bezatstarpm"/>
        <w:ind w:firstLine="709"/>
        <w:jc w:val="both"/>
        <w:rPr>
          <w:rFonts w:ascii="Times New Roman" w:hAnsi="Times New Roman"/>
          <w:sz w:val="24"/>
          <w:szCs w:val="24"/>
        </w:rPr>
      </w:pPr>
      <w:r w:rsidRPr="00504FEA">
        <w:rPr>
          <w:rFonts w:ascii="Times New Roman" w:hAnsi="Times New Roman"/>
          <w:sz w:val="24"/>
          <w:szCs w:val="24"/>
        </w:rPr>
        <w:t xml:space="preserve">No minētajām tiesību normām izriet, ka likumdevējs paredzējis noteiktu kārtību administratora rīcības un lēmumu pārsūdzēšanai un termiņu sūdzību iesniegšanai, lai tādējādi nodrošinātu tiesisko noteiktību. </w:t>
      </w:r>
    </w:p>
    <w:p w14:paraId="6F224E54" w14:textId="77777777" w:rsidR="00F4690F" w:rsidRPr="00504FEA" w:rsidRDefault="00F4690F" w:rsidP="00F4690F">
      <w:pPr>
        <w:spacing w:after="0" w:line="240" w:lineRule="auto"/>
        <w:ind w:firstLine="709"/>
        <w:jc w:val="both"/>
      </w:pPr>
      <w:r w:rsidRPr="00504FEA">
        <w:t xml:space="preserve">Izvērtējot Sūdzībā norādītos apstākļus, Maksātnespējas kontroles dienests secina, ka Sūdzības iesniegšanai ir iestājies noilgums, tā kā no Sūdzībai pievienotās e-pasta sarakstes izriet, ka Apelācijas instances spriedumu Iesniedzējs saņēma ar Administratores 2025. gada 22. janvāra e-pasta vēstuli. </w:t>
      </w:r>
    </w:p>
    <w:p w14:paraId="1223D4D2" w14:textId="77777777" w:rsidR="00F4690F" w:rsidRPr="00504FEA" w:rsidRDefault="00F4690F" w:rsidP="00F4690F">
      <w:pPr>
        <w:spacing w:after="0" w:line="240" w:lineRule="auto"/>
        <w:ind w:firstLine="709"/>
        <w:jc w:val="both"/>
      </w:pPr>
      <w:r w:rsidRPr="00504FEA">
        <w:t xml:space="preserve">Savukārt atbildi uz Iesniedzēja iebildumiem, no kuras izriet, ka Administratore Iesniedzēja iebildumus uzskata par nepamatotiem, Administratore Iesniedzējam ir sniegusi 2025. gada 4. februārī.  </w:t>
      </w:r>
    </w:p>
    <w:p w14:paraId="03A829C6" w14:textId="77777777" w:rsidR="00F4690F" w:rsidRPr="00504FEA" w:rsidRDefault="00F4690F" w:rsidP="00F4690F">
      <w:pPr>
        <w:spacing w:after="0" w:line="240" w:lineRule="auto"/>
        <w:ind w:firstLine="709"/>
        <w:jc w:val="both"/>
      </w:pPr>
      <w:r w:rsidRPr="00504FEA">
        <w:t>Līdz ar to secināms, ka Iesniedzējam Administratores rīcība bija zināma ilgāk nekā trīs mēnešus pirms Sūdzības iesniegšanas Maksātnespējas kontroles dienestā.</w:t>
      </w:r>
    </w:p>
    <w:p w14:paraId="65574E38" w14:textId="77777777" w:rsidR="00F4690F" w:rsidRPr="00504FEA" w:rsidRDefault="00F4690F" w:rsidP="00F4690F">
      <w:pPr>
        <w:spacing w:after="0" w:line="240" w:lineRule="auto"/>
        <w:ind w:firstLine="709"/>
        <w:jc w:val="both"/>
      </w:pPr>
      <w:r w:rsidRPr="00504FEA">
        <w:t>Ņemot vērā to, ka Sūdzības iesniegšanai ir iestājies noilgums, Sūdzība ir noraidāma.</w:t>
      </w:r>
    </w:p>
    <w:p w14:paraId="6160AA82" w14:textId="77777777" w:rsidR="00F4690F" w:rsidRPr="00504FEA" w:rsidRDefault="00F4690F" w:rsidP="00F4690F">
      <w:pPr>
        <w:tabs>
          <w:tab w:val="left" w:pos="2450"/>
        </w:tabs>
        <w:spacing w:after="0" w:line="100" w:lineRule="atLeast"/>
        <w:ind w:firstLine="709"/>
        <w:jc w:val="both"/>
        <w:rPr>
          <w:rFonts w:eastAsia="Times New Roman"/>
        </w:rPr>
      </w:pPr>
      <w:r w:rsidRPr="00504FEA">
        <w:rPr>
          <w:rFonts w:eastAsia="Times New Roman"/>
        </w:rPr>
        <w:t xml:space="preserve">[4] Izvērtējot </w:t>
      </w:r>
      <w:r w:rsidRPr="00504FEA">
        <w:rPr>
          <w:rFonts w:eastAsia="Times New Roman"/>
          <w:bCs/>
        </w:rPr>
        <w:t>minēto un pamatojoties uz norādītajām tiesību normām, kā arī Maksātnespējas likuma</w:t>
      </w:r>
      <w:r w:rsidRPr="00504FEA">
        <w:t xml:space="preserve"> </w:t>
      </w:r>
      <w:r w:rsidRPr="00504FEA">
        <w:rPr>
          <w:rFonts w:eastAsia="Times New Roman"/>
          <w:bCs/>
        </w:rPr>
        <w:t>174.</w:t>
      </w:r>
      <w:r w:rsidRPr="00504FEA">
        <w:rPr>
          <w:rFonts w:eastAsia="Times New Roman"/>
          <w:bCs/>
          <w:vertAlign w:val="superscript"/>
        </w:rPr>
        <w:t>1</w:t>
      </w:r>
      <w:r w:rsidRPr="00504FEA">
        <w:rPr>
          <w:rFonts w:eastAsia="Times New Roman"/>
          <w:bCs/>
        </w:rPr>
        <w:t xml:space="preserve"> panta 2. punktu, 175. panta pirmās daļas 2. punktu, 176. panta pirmo un otro daļu,</w:t>
      </w:r>
    </w:p>
    <w:p w14:paraId="547A3A35" w14:textId="77777777" w:rsidR="00F4690F" w:rsidRPr="00504FEA" w:rsidRDefault="00F4690F" w:rsidP="00F4690F">
      <w:pPr>
        <w:tabs>
          <w:tab w:val="left" w:pos="993"/>
          <w:tab w:val="left" w:pos="1134"/>
        </w:tabs>
        <w:spacing w:after="0" w:line="240" w:lineRule="auto"/>
        <w:ind w:firstLine="709"/>
        <w:jc w:val="both"/>
        <w:rPr>
          <w:rFonts w:eastAsia="Times New Roman"/>
          <w:bCs/>
        </w:rPr>
      </w:pPr>
    </w:p>
    <w:p w14:paraId="7017DC31" w14:textId="77777777" w:rsidR="00F4690F" w:rsidRPr="00504FEA" w:rsidRDefault="00F4690F" w:rsidP="00F4690F">
      <w:pPr>
        <w:autoSpaceDE w:val="0"/>
        <w:autoSpaceDN w:val="0"/>
        <w:adjustRightInd w:val="0"/>
        <w:spacing w:after="0" w:line="240" w:lineRule="auto"/>
        <w:ind w:firstLine="709"/>
        <w:jc w:val="center"/>
        <w:rPr>
          <w:rFonts w:eastAsia="Times New Roman"/>
          <w:b/>
          <w:bCs/>
        </w:rPr>
      </w:pPr>
      <w:r w:rsidRPr="00504FEA">
        <w:rPr>
          <w:rFonts w:eastAsia="Times New Roman"/>
          <w:b/>
          <w:bCs/>
        </w:rPr>
        <w:t>nolēmu:</w:t>
      </w:r>
    </w:p>
    <w:p w14:paraId="5E6734F1" w14:textId="77777777" w:rsidR="00F4690F" w:rsidRPr="00504FEA" w:rsidRDefault="00F4690F" w:rsidP="00F4690F">
      <w:pPr>
        <w:autoSpaceDE w:val="0"/>
        <w:autoSpaceDN w:val="0"/>
        <w:adjustRightInd w:val="0"/>
        <w:spacing w:after="0" w:line="240" w:lineRule="auto"/>
        <w:ind w:firstLine="709"/>
        <w:jc w:val="center"/>
        <w:rPr>
          <w:rFonts w:eastAsia="Times New Roman"/>
          <w:b/>
          <w:bCs/>
        </w:rPr>
      </w:pPr>
    </w:p>
    <w:p w14:paraId="3866E62E" w14:textId="02EC1077" w:rsidR="00F4690F" w:rsidRPr="00504FEA" w:rsidRDefault="00DF7182" w:rsidP="00F4690F">
      <w:pPr>
        <w:widowControl/>
        <w:spacing w:after="0" w:line="240" w:lineRule="auto"/>
        <w:ind w:firstLine="709"/>
        <w:jc w:val="both"/>
        <w:rPr>
          <w:rFonts w:eastAsia="Times New Roman"/>
          <w:b/>
          <w:bCs/>
          <w:lang w:val="lt-LT"/>
        </w:rPr>
      </w:pPr>
      <w:r w:rsidRPr="00504FEA">
        <w:t>/Pers. A/</w:t>
      </w:r>
      <w:r w:rsidR="00F4690F" w:rsidRPr="00504FEA">
        <w:t xml:space="preserve">, </w:t>
      </w:r>
      <w:r w:rsidR="00F4690F" w:rsidRPr="00504FEA">
        <w:rPr>
          <w:rFonts w:eastAsia="Times New Roman"/>
        </w:rPr>
        <w:t xml:space="preserve">2025. gada 23. decembra sūdzību par maksātnespējas procesa administratores </w:t>
      </w:r>
      <w:r w:rsidR="00130385" w:rsidRPr="00504FEA">
        <w:rPr>
          <w:rFonts w:eastAsia="Times New Roman"/>
        </w:rPr>
        <w:t>/Administrators/</w:t>
      </w:r>
      <w:r w:rsidR="00F4690F" w:rsidRPr="00504FEA">
        <w:rPr>
          <w:rFonts w:eastAsia="Times New Roman"/>
        </w:rPr>
        <w:t xml:space="preserve">, </w:t>
      </w:r>
      <w:r w:rsidR="00130385" w:rsidRPr="00504FEA">
        <w:rPr>
          <w:rFonts w:eastAsia="Times New Roman"/>
        </w:rPr>
        <w:t>/</w:t>
      </w:r>
      <w:r w:rsidR="00F4690F" w:rsidRPr="00504FEA">
        <w:rPr>
          <w:rFonts w:eastAsia="Times New Roman"/>
        </w:rPr>
        <w:t xml:space="preserve">amata apliecības </w:t>
      </w:r>
      <w:r w:rsidR="00130385" w:rsidRPr="00504FEA">
        <w:rPr>
          <w:rFonts w:eastAsia="Times New Roman"/>
        </w:rPr>
        <w:t>numurs/</w:t>
      </w:r>
      <w:r w:rsidR="00F4690F" w:rsidRPr="00504FEA">
        <w:rPr>
          <w:rFonts w:eastAsia="Times New Roman"/>
        </w:rPr>
        <w:t xml:space="preserve">, rīcību </w:t>
      </w:r>
      <w:r w:rsidR="00130385" w:rsidRPr="00504FEA">
        <w:rPr>
          <w:rFonts w:eastAsia="Times New Roman"/>
        </w:rPr>
        <w:t>/</w:t>
      </w:r>
      <w:r w:rsidR="00F4690F" w:rsidRPr="00504FEA">
        <w:rPr>
          <w:rFonts w:eastAsia="Times New Roman"/>
        </w:rPr>
        <w:t>SIA "</w:t>
      </w:r>
      <w:r w:rsidR="00130385" w:rsidRPr="00504FEA">
        <w:t>Nosaukums A</w:t>
      </w:r>
      <w:r w:rsidR="00F4690F" w:rsidRPr="00504FEA">
        <w:rPr>
          <w:rFonts w:eastAsia="Times New Roman"/>
        </w:rPr>
        <w:t>"</w:t>
      </w:r>
      <w:r w:rsidR="00130385" w:rsidRPr="00504FEA">
        <w:rPr>
          <w:rFonts w:eastAsia="Times New Roman"/>
        </w:rPr>
        <w:t>/</w:t>
      </w:r>
      <w:r w:rsidR="00F4690F" w:rsidRPr="00504FEA">
        <w:rPr>
          <w:rFonts w:eastAsia="Times New Roman"/>
        </w:rPr>
        <w:t xml:space="preserve">, </w:t>
      </w:r>
      <w:r w:rsidR="00130385" w:rsidRPr="00504FEA">
        <w:rPr>
          <w:rFonts w:eastAsia="Times New Roman"/>
        </w:rPr>
        <w:t>/</w:t>
      </w:r>
      <w:r w:rsidR="00F4690F" w:rsidRPr="00504FEA">
        <w:rPr>
          <w:rFonts w:eastAsia="Times New Roman"/>
        </w:rPr>
        <w:t xml:space="preserve">reģistrācijas </w:t>
      </w:r>
      <w:r w:rsidR="00130385" w:rsidRPr="00504FEA">
        <w:rPr>
          <w:rFonts w:eastAsia="Times New Roman"/>
        </w:rPr>
        <w:t>numurs/</w:t>
      </w:r>
      <w:r w:rsidR="00F4690F" w:rsidRPr="00504FEA">
        <w:rPr>
          <w:rFonts w:eastAsia="Times New Roman"/>
        </w:rPr>
        <w:t xml:space="preserve">, maksātnespējas procesā </w:t>
      </w:r>
      <w:r w:rsidR="00F4690F" w:rsidRPr="00504FEA">
        <w:rPr>
          <w:rFonts w:eastAsia="Times New Roman"/>
          <w:b/>
          <w:bCs/>
        </w:rPr>
        <w:t>noraidīt</w:t>
      </w:r>
      <w:r w:rsidR="00F4690F" w:rsidRPr="00504FEA">
        <w:rPr>
          <w:rFonts w:eastAsia="Times New Roman"/>
        </w:rPr>
        <w:t>.</w:t>
      </w:r>
    </w:p>
    <w:p w14:paraId="5E994A60" w14:textId="77777777" w:rsidR="00F4690F" w:rsidRPr="00504FEA" w:rsidRDefault="00F4690F" w:rsidP="00F4690F">
      <w:pPr>
        <w:spacing w:after="0" w:line="100" w:lineRule="atLeast"/>
        <w:jc w:val="both"/>
        <w:rPr>
          <w:iCs/>
          <w:lang w:eastAsia="en-US"/>
        </w:rPr>
      </w:pPr>
    </w:p>
    <w:p w14:paraId="39C732A5" w14:textId="2B8EC21F" w:rsidR="00F4690F" w:rsidRPr="00504FEA" w:rsidRDefault="00F4690F" w:rsidP="00F4690F">
      <w:pPr>
        <w:widowControl/>
        <w:tabs>
          <w:tab w:val="left" w:pos="1080"/>
          <w:tab w:val="left" w:pos="1260"/>
        </w:tabs>
        <w:spacing w:after="0" w:line="240" w:lineRule="auto"/>
        <w:ind w:firstLine="709"/>
        <w:jc w:val="both"/>
        <w:rPr>
          <w:rFonts w:eastAsia="Times New Roman"/>
        </w:rPr>
      </w:pPr>
      <w:r w:rsidRPr="00504FEA">
        <w:rPr>
          <w:rFonts w:eastAsia="Times New Roman"/>
        </w:rPr>
        <w:t xml:space="preserve">Lēmumu var pārsūdzēt </w:t>
      </w:r>
      <w:r w:rsidR="00130385" w:rsidRPr="00504FEA">
        <w:rPr>
          <w:rFonts w:eastAsia="Times New Roman"/>
        </w:rPr>
        <w:t>/tiesas nosaukums/</w:t>
      </w:r>
      <w:r w:rsidRPr="00504FEA">
        <w:rPr>
          <w:rFonts w:eastAsia="Times New Roman"/>
        </w:rPr>
        <w:t xml:space="preserve"> mēneša laikā no lēmuma saņemšanas dienas. Sūdzības iesniegšana tiesā neaptur šā lēmuma darbību.</w:t>
      </w:r>
    </w:p>
    <w:p w14:paraId="29EEC1C1" w14:textId="77777777" w:rsidR="00F4690F" w:rsidRPr="00504FEA" w:rsidRDefault="00F4690F" w:rsidP="00F4690F">
      <w:pPr>
        <w:widowControl/>
        <w:tabs>
          <w:tab w:val="left" w:pos="1080"/>
          <w:tab w:val="left" w:pos="1260"/>
        </w:tabs>
        <w:spacing w:after="0" w:line="240" w:lineRule="auto"/>
        <w:ind w:firstLine="709"/>
        <w:jc w:val="both"/>
        <w:rPr>
          <w:rFonts w:eastAsia="Times New Roman"/>
        </w:rPr>
      </w:pPr>
    </w:p>
    <w:p w14:paraId="478BCC79" w14:textId="77777777" w:rsidR="00F4690F" w:rsidRPr="00504FEA" w:rsidRDefault="00F4690F" w:rsidP="00F4690F">
      <w:pPr>
        <w:pStyle w:val="Galvene"/>
        <w:tabs>
          <w:tab w:val="clear" w:pos="8640"/>
          <w:tab w:val="left" w:pos="720"/>
          <w:tab w:val="right" w:pos="9214"/>
        </w:tabs>
        <w:jc w:val="both"/>
      </w:pPr>
      <w:r w:rsidRPr="00504FEA">
        <w:t xml:space="preserve">Direktores </w:t>
      </w:r>
      <w:proofErr w:type="spellStart"/>
      <w:r w:rsidRPr="00504FEA">
        <w:t>p.i</w:t>
      </w:r>
      <w:proofErr w:type="spellEnd"/>
      <w:r w:rsidRPr="00504FEA">
        <w:t>.</w:t>
      </w:r>
      <w:r w:rsidRPr="00504FEA">
        <w:tab/>
      </w:r>
      <w:r w:rsidRPr="00504FEA">
        <w:tab/>
        <w:t>Baiba Banga</w:t>
      </w:r>
    </w:p>
    <w:p w14:paraId="5930231C" w14:textId="77777777" w:rsidR="00F4690F" w:rsidRPr="00504FEA" w:rsidRDefault="00F4690F" w:rsidP="00F4690F">
      <w:pPr>
        <w:pStyle w:val="Galvene"/>
        <w:tabs>
          <w:tab w:val="clear" w:pos="8640"/>
          <w:tab w:val="left" w:pos="720"/>
          <w:tab w:val="right" w:pos="9214"/>
        </w:tabs>
        <w:jc w:val="both"/>
      </w:pPr>
    </w:p>
    <w:p w14:paraId="26BFCB41" w14:textId="77777777" w:rsidR="00F4690F" w:rsidRPr="00504FEA" w:rsidRDefault="00F4690F" w:rsidP="00F4690F">
      <w:pPr>
        <w:tabs>
          <w:tab w:val="left" w:pos="8080"/>
        </w:tabs>
        <w:autoSpaceDE w:val="0"/>
        <w:autoSpaceDN w:val="0"/>
        <w:adjustRightInd w:val="0"/>
        <w:spacing w:after="0" w:line="240" w:lineRule="auto"/>
        <w:jc w:val="both"/>
        <w:rPr>
          <w:rFonts w:eastAsia="Times New Roman"/>
        </w:rPr>
      </w:pPr>
    </w:p>
    <w:p w14:paraId="45DC6134" w14:textId="77777777" w:rsidR="00F4690F" w:rsidRPr="00504FEA" w:rsidRDefault="00F4690F" w:rsidP="00F4690F">
      <w:pPr>
        <w:tabs>
          <w:tab w:val="left" w:pos="5940"/>
        </w:tabs>
        <w:spacing w:after="0" w:line="240" w:lineRule="auto"/>
        <w:jc w:val="both"/>
      </w:pPr>
    </w:p>
    <w:p w14:paraId="3289D8F7" w14:textId="77777777" w:rsidR="00F4690F" w:rsidRPr="00DC3D67" w:rsidRDefault="00F4690F" w:rsidP="00F4690F">
      <w:pPr>
        <w:tabs>
          <w:tab w:val="left" w:pos="5940"/>
        </w:tabs>
        <w:jc w:val="center"/>
        <w:rPr>
          <w:iCs/>
          <w:lang w:eastAsia="en-US"/>
        </w:rPr>
      </w:pPr>
      <w:r w:rsidRPr="00504FEA">
        <w:rPr>
          <w:lang w:eastAsia="en-US"/>
        </w:rPr>
        <w:t>DOKUMENTS IR PARAKSTĪTS AR DROŠU ELEKTRONISKO PARAKSTU</w:t>
      </w:r>
    </w:p>
    <w:p w14:paraId="4DBBFB97" w14:textId="70BDC927" w:rsidR="00E8606B" w:rsidRPr="00F4690F" w:rsidRDefault="00E8606B" w:rsidP="00F4690F"/>
    <w:sectPr w:rsidR="00E8606B" w:rsidRPr="00F4690F" w:rsidSect="002C250D">
      <w:headerReference w:type="even" r:id="rId8"/>
      <w:headerReference w:type="default" r:id="rId9"/>
      <w:footerReference w:type="even" r:id="rId10"/>
      <w:footerReference w:type="default" r:id="rId11"/>
      <w:headerReference w:type="first" r:id="rId12"/>
      <w:footerReference w:type="first" r:id="rId13"/>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295CF" w14:textId="77777777" w:rsidR="00E53E7A" w:rsidRDefault="00E53E7A">
      <w:pPr>
        <w:spacing w:after="0" w:line="240" w:lineRule="auto"/>
      </w:pPr>
      <w:r>
        <w:separator/>
      </w:r>
    </w:p>
  </w:endnote>
  <w:endnote w:type="continuationSeparator" w:id="0">
    <w:p w14:paraId="42E2747B" w14:textId="77777777" w:rsidR="00E53E7A" w:rsidRDefault="00E53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EC88" w14:textId="77777777" w:rsidR="00CC5881" w:rsidRDefault="00CC588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308315"/>
      <w:docPartObj>
        <w:docPartGallery w:val="Page Numbers (Bottom of Page)"/>
        <w:docPartUnique/>
      </w:docPartObj>
    </w:sdtPr>
    <w:sdtContent>
      <w:p w14:paraId="1380DE21" w14:textId="03B9C953" w:rsidR="00CC5881" w:rsidRDefault="00CC5881">
        <w:pPr>
          <w:pStyle w:val="Kjene"/>
          <w:jc w:val="center"/>
        </w:pPr>
        <w:r>
          <w:fldChar w:fldCharType="begin"/>
        </w:r>
        <w:r>
          <w:instrText>PAGE   \* MERGEFORMAT</w:instrText>
        </w:r>
        <w:r>
          <w:fldChar w:fldCharType="separate"/>
        </w:r>
        <w:r>
          <w:t>2</w:t>
        </w:r>
        <w:r>
          <w:fldChar w:fldCharType="end"/>
        </w:r>
      </w:p>
    </w:sdtContent>
  </w:sdt>
  <w:p w14:paraId="66CDEDED" w14:textId="77777777" w:rsidR="00CC5881" w:rsidRDefault="00CC5881">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1BFF" w14:textId="77777777" w:rsidR="00CC5881" w:rsidRDefault="00CC588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36811" w14:textId="77777777" w:rsidR="00E53E7A" w:rsidRDefault="00E53E7A">
      <w:pPr>
        <w:spacing w:after="0" w:line="240" w:lineRule="auto"/>
      </w:pPr>
      <w:r>
        <w:separator/>
      </w:r>
    </w:p>
  </w:footnote>
  <w:footnote w:type="continuationSeparator" w:id="0">
    <w:p w14:paraId="2694E5EE" w14:textId="77777777" w:rsidR="00E53E7A" w:rsidRDefault="00E53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71F7" w14:textId="77777777" w:rsidR="00CC5881" w:rsidRDefault="00CC588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1243" w14:textId="77777777" w:rsidR="00CC5881" w:rsidRDefault="00CC588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14:paraId="08348528" w14:textId="77777777" w:rsidTr="00D37331">
      <w:tc>
        <w:tcPr>
          <w:tcW w:w="4792" w:type="dxa"/>
        </w:tcPr>
        <w:p w14:paraId="1E9E4CE3" w14:textId="77777777" w:rsidR="00D37331" w:rsidRDefault="00D37331" w:rsidP="00D37331">
          <w:pPr>
            <w:tabs>
              <w:tab w:val="left" w:pos="2296"/>
            </w:tabs>
          </w:pPr>
          <w:r>
            <w:t>08.01.2026.</w:t>
          </w:r>
        </w:p>
      </w:tc>
      <w:tc>
        <w:tcPr>
          <w:tcW w:w="4792" w:type="dxa"/>
        </w:tcPr>
        <w:p w14:paraId="39F85DD5" w14:textId="76A6DC95" w:rsidR="00D37331" w:rsidRDefault="0012143B" w:rsidP="00D37331">
          <w:pPr>
            <w:tabs>
              <w:tab w:val="left" w:pos="2296"/>
            </w:tabs>
            <w:jc w:val="right"/>
          </w:pPr>
          <w:r w:rsidRPr="00504FEA">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2ED4200">
              <v:stroke joinstyle="miter"/>
              <v:path gradientshapeok="t" o:connecttype="rect"/>
            </v:shapetype>
            <v:shape id="Text Box 43"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v:textbox inset="0,0,0,0">
                <w:txbxContent>
                  <w:p w:rsidR="00B70C91" w:rsidP="00B70C91" w:rsidRDefault="00B70C91" w14:paraId="1AC895F4" w14:textId="142882EC">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6192;mso-position-horizontal-relative:page;mso-position-vertical-relative:page" coordsize="6926,2" coordorigin="2915,2998" o:spid="_x0000_s1026" w14:anchorId="7239B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 w15:restartNumberingAfterBreak="0">
    <w:nsid w:val="5657CA50"/>
    <w:multiLevelType w:val="singleLevel"/>
    <w:tmpl w:val="5657CA50"/>
    <w:lvl w:ilvl="0">
      <w:start w:val="1"/>
      <w:numFmt w:val="decimal"/>
      <w:suff w:val="space"/>
      <w:lvlText w:val="[%1]"/>
      <w:lvlJc w:val="left"/>
      <w:pPr>
        <w:ind w:left="0" w:firstLine="0"/>
      </w:pPr>
    </w:lvl>
  </w:abstractNum>
  <w:num w:numId="1" w16cid:durableId="688337075">
    <w:abstractNumId w:val="10"/>
  </w:num>
  <w:num w:numId="2" w16cid:durableId="2082631265">
    <w:abstractNumId w:val="8"/>
  </w:num>
  <w:num w:numId="3" w16cid:durableId="1366440590">
    <w:abstractNumId w:val="7"/>
  </w:num>
  <w:num w:numId="4" w16cid:durableId="2019580551">
    <w:abstractNumId w:val="6"/>
  </w:num>
  <w:num w:numId="5" w16cid:durableId="1534149486">
    <w:abstractNumId w:val="5"/>
  </w:num>
  <w:num w:numId="6" w16cid:durableId="2112703201">
    <w:abstractNumId w:val="9"/>
  </w:num>
  <w:num w:numId="7" w16cid:durableId="833111168">
    <w:abstractNumId w:val="4"/>
  </w:num>
  <w:num w:numId="8" w16cid:durableId="811292007">
    <w:abstractNumId w:val="3"/>
  </w:num>
  <w:num w:numId="9" w16cid:durableId="153958918">
    <w:abstractNumId w:val="2"/>
  </w:num>
  <w:num w:numId="10" w16cid:durableId="1542284225">
    <w:abstractNumId w:val="1"/>
  </w:num>
  <w:num w:numId="11" w16cid:durableId="155533004">
    <w:abstractNumId w:val="0"/>
  </w:num>
  <w:num w:numId="12" w16cid:durableId="1992128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6173542">
    <w:abstractNumId w:val="13"/>
    <w:lvlOverride w:ilvl="0">
      <w:startOverride w:val="1"/>
    </w:lvlOverride>
  </w:num>
  <w:num w:numId="14" w16cid:durableId="10021953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6384"/>
    <w:rsid w:val="00030349"/>
    <w:rsid w:val="00061C78"/>
    <w:rsid w:val="000818B6"/>
    <w:rsid w:val="000B03D6"/>
    <w:rsid w:val="000B283E"/>
    <w:rsid w:val="000D7019"/>
    <w:rsid w:val="00106DA1"/>
    <w:rsid w:val="0012143B"/>
    <w:rsid w:val="00124173"/>
    <w:rsid w:val="00126EC3"/>
    <w:rsid w:val="00130385"/>
    <w:rsid w:val="00152815"/>
    <w:rsid w:val="00181B9A"/>
    <w:rsid w:val="001B229F"/>
    <w:rsid w:val="001B265D"/>
    <w:rsid w:val="001B79BA"/>
    <w:rsid w:val="00223018"/>
    <w:rsid w:val="002545A4"/>
    <w:rsid w:val="00275B9E"/>
    <w:rsid w:val="00287A23"/>
    <w:rsid w:val="002B21F0"/>
    <w:rsid w:val="002B2810"/>
    <w:rsid w:val="002C250D"/>
    <w:rsid w:val="002C2AE4"/>
    <w:rsid w:val="002D3458"/>
    <w:rsid w:val="002E1474"/>
    <w:rsid w:val="002E53DA"/>
    <w:rsid w:val="002F770A"/>
    <w:rsid w:val="003154C2"/>
    <w:rsid w:val="003322AF"/>
    <w:rsid w:val="00344700"/>
    <w:rsid w:val="004B47FB"/>
    <w:rsid w:val="005033FF"/>
    <w:rsid w:val="00504FEA"/>
    <w:rsid w:val="00535564"/>
    <w:rsid w:val="00575A21"/>
    <w:rsid w:val="005A05CC"/>
    <w:rsid w:val="005A14A8"/>
    <w:rsid w:val="005D51AF"/>
    <w:rsid w:val="00611115"/>
    <w:rsid w:val="00644746"/>
    <w:rsid w:val="00646788"/>
    <w:rsid w:val="00654529"/>
    <w:rsid w:val="00663C3A"/>
    <w:rsid w:val="006936E4"/>
    <w:rsid w:val="006F0382"/>
    <w:rsid w:val="006F1A34"/>
    <w:rsid w:val="00705974"/>
    <w:rsid w:val="0071044A"/>
    <w:rsid w:val="00717DAE"/>
    <w:rsid w:val="007815EB"/>
    <w:rsid w:val="00786021"/>
    <w:rsid w:val="00787FEE"/>
    <w:rsid w:val="00797E75"/>
    <w:rsid w:val="007B3BA5"/>
    <w:rsid w:val="007D19F1"/>
    <w:rsid w:val="007D2DE0"/>
    <w:rsid w:val="007D3687"/>
    <w:rsid w:val="007E4D1F"/>
    <w:rsid w:val="00815277"/>
    <w:rsid w:val="008364B0"/>
    <w:rsid w:val="00876C21"/>
    <w:rsid w:val="008C2310"/>
    <w:rsid w:val="008D1EE7"/>
    <w:rsid w:val="008D7603"/>
    <w:rsid w:val="008E5A19"/>
    <w:rsid w:val="008E7491"/>
    <w:rsid w:val="009263F5"/>
    <w:rsid w:val="0094684B"/>
    <w:rsid w:val="00960C5E"/>
    <w:rsid w:val="00960F88"/>
    <w:rsid w:val="00962029"/>
    <w:rsid w:val="00991007"/>
    <w:rsid w:val="00995FAA"/>
    <w:rsid w:val="009A4356"/>
    <w:rsid w:val="009D6578"/>
    <w:rsid w:val="00A219B9"/>
    <w:rsid w:val="00A521E1"/>
    <w:rsid w:val="00A56F4C"/>
    <w:rsid w:val="00A86417"/>
    <w:rsid w:val="00A95BEA"/>
    <w:rsid w:val="00AE202A"/>
    <w:rsid w:val="00AE4050"/>
    <w:rsid w:val="00B12C26"/>
    <w:rsid w:val="00B164A6"/>
    <w:rsid w:val="00B6097A"/>
    <w:rsid w:val="00B70C91"/>
    <w:rsid w:val="00B73487"/>
    <w:rsid w:val="00B908BC"/>
    <w:rsid w:val="00B91BEE"/>
    <w:rsid w:val="00BD0556"/>
    <w:rsid w:val="00C12593"/>
    <w:rsid w:val="00C1579A"/>
    <w:rsid w:val="00C42FCE"/>
    <w:rsid w:val="00C443B5"/>
    <w:rsid w:val="00C47F57"/>
    <w:rsid w:val="00C67713"/>
    <w:rsid w:val="00C73E6F"/>
    <w:rsid w:val="00CC5881"/>
    <w:rsid w:val="00D1754D"/>
    <w:rsid w:val="00D21FA6"/>
    <w:rsid w:val="00D37331"/>
    <w:rsid w:val="00D63EDB"/>
    <w:rsid w:val="00DF7182"/>
    <w:rsid w:val="00E023E2"/>
    <w:rsid w:val="00E155FE"/>
    <w:rsid w:val="00E177B8"/>
    <w:rsid w:val="00E31AA8"/>
    <w:rsid w:val="00E365CE"/>
    <w:rsid w:val="00E4670F"/>
    <w:rsid w:val="00E53E7A"/>
    <w:rsid w:val="00E71FCF"/>
    <w:rsid w:val="00E7353C"/>
    <w:rsid w:val="00E81B96"/>
    <w:rsid w:val="00E8606B"/>
    <w:rsid w:val="00EC28F4"/>
    <w:rsid w:val="00F013C3"/>
    <w:rsid w:val="00F146B6"/>
    <w:rsid w:val="00F1756B"/>
    <w:rsid w:val="00F27CAF"/>
    <w:rsid w:val="00F41978"/>
    <w:rsid w:val="00F4690F"/>
    <w:rsid w:val="00F70DB4"/>
    <w:rsid w:val="00F969B5"/>
    <w:rsid w:val="00FB1EB6"/>
    <w:rsid w:val="00FD7AE9"/>
    <w:rsid w:val="00FF638E"/>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Bezatstarpm">
    <w:name w:val="No Spacing"/>
    <w:uiPriority w:val="1"/>
    <w:qFormat/>
    <w:rsid w:val="00F4690F"/>
    <w:rPr>
      <w:rFonts w:ascii="Calibri" w:hAnsi="Calibri"/>
      <w:sz w:val="22"/>
      <w:szCs w:val="22"/>
      <w:lang w:eastAsia="en-US"/>
    </w:rPr>
  </w:style>
  <w:style w:type="paragraph" w:customStyle="1" w:styleId="Default">
    <w:name w:val="Default"/>
    <w:rsid w:val="00F4690F"/>
    <w:pPr>
      <w:autoSpaceDE w:val="0"/>
      <w:autoSpaceDN w:val="0"/>
      <w:adjustRightInd w:val="0"/>
    </w:pPr>
    <w:rPr>
      <w:rFonts w:eastAsiaTheme="minorHAnsi"/>
      <w:color w:val="000000"/>
      <w:lang w:eastAsia="en-US"/>
      <w14:ligatures w14:val="standardContextual"/>
    </w:rPr>
  </w:style>
  <w:style w:type="paragraph" w:customStyle="1" w:styleId="Standard">
    <w:name w:val="Standard"/>
    <w:rsid w:val="00F4690F"/>
    <w:pPr>
      <w:suppressAutoHyphens/>
      <w:autoSpaceDN w:val="0"/>
      <w:textAlignment w:val="baseline"/>
    </w:pPr>
    <w:rPr>
      <w:rFonts w:eastAsia="SimSun" w:cs="Mang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5307</Words>
  <Characters>3025</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Marika Mitrone</cp:lastModifiedBy>
  <cp:revision>9</cp:revision>
  <cp:lastPrinted>2017-06-19T07:12:00Z</cp:lastPrinted>
  <dcterms:created xsi:type="dcterms:W3CDTF">2026-03-04T07:30:00Z</dcterms:created>
  <dcterms:modified xsi:type="dcterms:W3CDTF">2026-03-05T08:29:00Z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