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AEF1" w14:textId="6C38C38E" w:rsidR="00795E1F" w:rsidRPr="00362637" w:rsidRDefault="0023162E" w:rsidP="00795E1F">
      <w:pPr>
        <w:spacing w:after="0" w:line="240" w:lineRule="auto"/>
        <w:jc w:val="right"/>
        <w:rPr>
          <w:b/>
          <w:bCs/>
        </w:rPr>
      </w:pPr>
      <w:r w:rsidRPr="00362637">
        <w:rPr>
          <w:b/>
          <w:bCs/>
        </w:rPr>
        <w:t>/pers. A/</w:t>
      </w:r>
    </w:p>
    <w:p w14:paraId="2C9D9F0F" w14:textId="3ECF5097" w:rsidR="0050374B" w:rsidRPr="00362637" w:rsidRDefault="0050374B" w:rsidP="00795E1F">
      <w:pPr>
        <w:spacing w:after="0" w:line="240" w:lineRule="auto"/>
        <w:jc w:val="right"/>
        <w:rPr>
          <w:b/>
          <w:bCs/>
        </w:rPr>
      </w:pPr>
      <w:r w:rsidRPr="00362637">
        <w:rPr>
          <w:b/>
          <w:bCs/>
        </w:rPr>
        <w:t>pilnvarotajai personai</w:t>
      </w:r>
    </w:p>
    <w:p w14:paraId="6094A014" w14:textId="709C72F9" w:rsidR="0050374B" w:rsidRPr="00362637" w:rsidRDefault="0023162E" w:rsidP="00795E1F">
      <w:pPr>
        <w:spacing w:after="0" w:line="240" w:lineRule="auto"/>
        <w:jc w:val="right"/>
        <w:rPr>
          <w:b/>
          <w:bCs/>
        </w:rPr>
      </w:pPr>
      <w:r w:rsidRPr="00362637">
        <w:rPr>
          <w:b/>
          <w:bCs/>
        </w:rPr>
        <w:t>/pers. B/</w:t>
      </w:r>
    </w:p>
    <w:p w14:paraId="46491F74" w14:textId="0102D9F9" w:rsidR="00795E1F" w:rsidRPr="00362637" w:rsidRDefault="00795E1F" w:rsidP="00795E1F">
      <w:pPr>
        <w:widowControl/>
        <w:spacing w:after="0" w:line="240" w:lineRule="auto"/>
        <w:jc w:val="right"/>
        <w:rPr>
          <w:rFonts w:ascii="TimesNewRomanPSMT" w:hAnsi="TimesNewRomanPSMT" w:cs="TimesNewRomanPSMT"/>
        </w:rPr>
      </w:pPr>
      <w:r w:rsidRPr="00362637">
        <w:rPr>
          <w:rFonts w:eastAsia="Times New Roman"/>
        </w:rPr>
        <w:t xml:space="preserve">E-pasts: </w:t>
      </w:r>
      <w:r w:rsidR="0023162E" w:rsidRPr="00362637">
        <w:rPr>
          <w:rFonts w:ascii="TimesNewRomanPSMT" w:hAnsi="TimesNewRomanPSMT" w:cs="TimesNewRomanPSMT"/>
        </w:rPr>
        <w:t>/elektroniskā pasta adrese/</w:t>
      </w:r>
    </w:p>
    <w:p w14:paraId="7E487F0D" w14:textId="77777777" w:rsidR="00795E1F" w:rsidRPr="00362637" w:rsidRDefault="00795E1F" w:rsidP="00795E1F">
      <w:pPr>
        <w:widowControl/>
        <w:spacing w:after="0" w:line="240" w:lineRule="auto"/>
        <w:jc w:val="right"/>
        <w:rPr>
          <w:rFonts w:eastAsia="Times New Roman"/>
          <w:lang w:val="lt-LT"/>
        </w:rPr>
      </w:pPr>
    </w:p>
    <w:p w14:paraId="3E3F14BA" w14:textId="77777777" w:rsidR="00795E1F" w:rsidRPr="00362637" w:rsidRDefault="00795E1F" w:rsidP="00795E1F">
      <w:pPr>
        <w:widowControl/>
        <w:spacing w:after="0" w:line="240" w:lineRule="auto"/>
        <w:jc w:val="right"/>
        <w:rPr>
          <w:rFonts w:eastAsia="Times New Roman"/>
          <w:b/>
          <w:bCs/>
          <w:lang w:val="lt-LT"/>
        </w:rPr>
      </w:pPr>
      <w:r w:rsidRPr="00362637">
        <w:rPr>
          <w:rFonts w:eastAsia="Times New Roman"/>
          <w:b/>
          <w:bCs/>
          <w:lang w:val="lt-LT"/>
        </w:rPr>
        <w:t>Maksātnespējas procesa administratorei</w:t>
      </w:r>
    </w:p>
    <w:p w14:paraId="150AF8EB" w14:textId="1BAD30EF" w:rsidR="00795E1F" w:rsidRPr="00362637" w:rsidRDefault="0023162E" w:rsidP="00795E1F">
      <w:pPr>
        <w:widowControl/>
        <w:spacing w:after="0" w:line="240" w:lineRule="auto"/>
        <w:jc w:val="right"/>
        <w:rPr>
          <w:rFonts w:eastAsia="Times New Roman"/>
          <w:b/>
          <w:bCs/>
          <w:lang w:val="lt-LT"/>
        </w:rPr>
      </w:pPr>
      <w:r w:rsidRPr="00362637">
        <w:rPr>
          <w:rFonts w:eastAsia="Times New Roman"/>
          <w:b/>
          <w:bCs/>
          <w:lang w:val="lt-LT"/>
        </w:rPr>
        <w:t>/Administrators/</w:t>
      </w:r>
    </w:p>
    <w:p w14:paraId="60FBFE93" w14:textId="77777777" w:rsidR="00795E1F" w:rsidRPr="00362637" w:rsidRDefault="00795E1F" w:rsidP="00795E1F">
      <w:pPr>
        <w:widowControl/>
        <w:spacing w:after="0" w:line="240" w:lineRule="auto"/>
        <w:jc w:val="right"/>
        <w:rPr>
          <w:rFonts w:eastAsia="Times New Roman"/>
        </w:rPr>
      </w:pPr>
      <w:r w:rsidRPr="00362637">
        <w:rPr>
          <w:rFonts w:eastAsia="Times New Roman"/>
        </w:rPr>
        <w:t>Paziņošanai e-adresē</w:t>
      </w:r>
    </w:p>
    <w:p w14:paraId="3E6237E0" w14:textId="77777777" w:rsidR="00795E1F" w:rsidRPr="00362637" w:rsidRDefault="00795E1F" w:rsidP="00795E1F">
      <w:pPr>
        <w:widowControl/>
        <w:spacing w:after="0" w:line="240" w:lineRule="auto"/>
        <w:jc w:val="right"/>
        <w:rPr>
          <w:rFonts w:eastAsia="Times New Roman"/>
        </w:rPr>
      </w:pPr>
    </w:p>
    <w:p w14:paraId="59066A7C" w14:textId="77777777" w:rsidR="00795E1F" w:rsidRPr="00362637" w:rsidRDefault="00795E1F" w:rsidP="00795E1F">
      <w:pPr>
        <w:widowControl/>
        <w:spacing w:after="0" w:line="240" w:lineRule="auto"/>
        <w:jc w:val="right"/>
        <w:rPr>
          <w:rFonts w:eastAsia="Times New Roman"/>
        </w:rPr>
      </w:pPr>
    </w:p>
    <w:p w14:paraId="662FF647" w14:textId="77777777" w:rsidR="00795E1F" w:rsidRPr="00362637" w:rsidRDefault="00795E1F" w:rsidP="00795E1F">
      <w:pPr>
        <w:widowControl/>
        <w:spacing w:after="0" w:line="240" w:lineRule="auto"/>
        <w:jc w:val="right"/>
        <w:rPr>
          <w:rFonts w:eastAsia="Times New Roman"/>
        </w:rPr>
      </w:pPr>
    </w:p>
    <w:p w14:paraId="5907FCD3" w14:textId="77777777" w:rsidR="00795E1F" w:rsidRPr="00362637" w:rsidRDefault="00795E1F" w:rsidP="00795E1F">
      <w:pPr>
        <w:widowControl/>
        <w:spacing w:after="0" w:line="240" w:lineRule="auto"/>
        <w:jc w:val="right"/>
        <w:rPr>
          <w:rFonts w:eastAsia="Times New Roman"/>
        </w:rPr>
      </w:pPr>
    </w:p>
    <w:p w14:paraId="227B0E3C" w14:textId="77777777" w:rsidR="00795E1F" w:rsidRPr="00362637" w:rsidRDefault="00795E1F" w:rsidP="00795E1F">
      <w:pPr>
        <w:widowControl/>
        <w:spacing w:after="0" w:line="240" w:lineRule="auto"/>
        <w:jc w:val="right"/>
        <w:rPr>
          <w:rFonts w:eastAsia="Times New Roman"/>
        </w:rPr>
      </w:pPr>
    </w:p>
    <w:p w14:paraId="65DDD6A2" w14:textId="245F2A9F" w:rsidR="00795E1F" w:rsidRPr="00362637" w:rsidRDefault="00795E1F" w:rsidP="00795E1F">
      <w:pPr>
        <w:widowControl/>
        <w:spacing w:after="0" w:line="240" w:lineRule="auto"/>
        <w:jc w:val="center"/>
        <w:rPr>
          <w:rFonts w:eastAsia="Times New Roman"/>
          <w:b/>
          <w:bCs/>
          <w:lang w:val="lt-LT"/>
        </w:rPr>
      </w:pPr>
      <w:r w:rsidRPr="00362637">
        <w:rPr>
          <w:rFonts w:eastAsia="Times New Roman"/>
          <w:b/>
          <w:bCs/>
          <w:lang w:val="lt-LT"/>
        </w:rPr>
        <w:t xml:space="preserve">Par </w:t>
      </w:r>
      <w:r w:rsidR="0023162E" w:rsidRPr="00362637">
        <w:rPr>
          <w:b/>
          <w:bCs/>
        </w:rPr>
        <w:t xml:space="preserve">/pers. A/ </w:t>
      </w:r>
      <w:r w:rsidR="003C5EDE" w:rsidRPr="00362637">
        <w:rPr>
          <w:b/>
          <w:bCs/>
        </w:rPr>
        <w:t xml:space="preserve">pilnvarotās personas </w:t>
      </w:r>
      <w:r w:rsidR="0023162E" w:rsidRPr="00362637">
        <w:rPr>
          <w:b/>
          <w:bCs/>
        </w:rPr>
        <w:t>/pers. B/</w:t>
      </w:r>
      <w:r w:rsidRPr="00362637">
        <w:rPr>
          <w:b/>
          <w:bCs/>
        </w:rPr>
        <w:t xml:space="preserve"> </w:t>
      </w:r>
      <w:r w:rsidRPr="00362637">
        <w:rPr>
          <w:rFonts w:eastAsia="Times New Roman"/>
          <w:b/>
          <w:bCs/>
          <w:lang w:val="lt-LT"/>
        </w:rPr>
        <w:t>sūdzību</w:t>
      </w:r>
    </w:p>
    <w:p w14:paraId="0A7FDF98" w14:textId="631ECEE5" w:rsidR="00795E1F" w:rsidRPr="00362637" w:rsidRDefault="00795E1F" w:rsidP="00795E1F">
      <w:pPr>
        <w:widowControl/>
        <w:spacing w:after="0" w:line="240" w:lineRule="auto"/>
        <w:jc w:val="center"/>
        <w:rPr>
          <w:rFonts w:eastAsia="Times New Roman"/>
          <w:b/>
          <w:bCs/>
          <w:lang w:val="lt-LT"/>
        </w:rPr>
      </w:pPr>
      <w:r w:rsidRPr="00362637">
        <w:rPr>
          <w:rFonts w:eastAsia="Times New Roman"/>
          <w:b/>
          <w:bCs/>
          <w:lang w:val="lt-LT"/>
        </w:rPr>
        <w:t xml:space="preserve">par maksātnespējas procesa administratores </w:t>
      </w:r>
      <w:r w:rsidR="0023162E" w:rsidRPr="00362637">
        <w:rPr>
          <w:rFonts w:eastAsia="Times New Roman"/>
          <w:b/>
          <w:bCs/>
          <w:lang w:val="lt-LT"/>
        </w:rPr>
        <w:t>/Administrators/</w:t>
      </w:r>
      <w:r w:rsidRPr="00362637">
        <w:rPr>
          <w:rFonts w:eastAsia="Times New Roman"/>
          <w:b/>
          <w:bCs/>
          <w:lang w:val="lt-LT"/>
        </w:rPr>
        <w:t xml:space="preserve"> rīcību</w:t>
      </w:r>
    </w:p>
    <w:p w14:paraId="66B17C6B" w14:textId="32F1D8ED" w:rsidR="00795E1F" w:rsidRPr="00362637" w:rsidRDefault="0023162E" w:rsidP="00795E1F">
      <w:pPr>
        <w:widowControl/>
        <w:spacing w:after="0" w:line="240" w:lineRule="auto"/>
        <w:jc w:val="center"/>
        <w:rPr>
          <w:rFonts w:eastAsia="Times New Roman"/>
          <w:b/>
          <w:bCs/>
          <w:lang w:val="lt-LT"/>
        </w:rPr>
      </w:pPr>
      <w:r w:rsidRPr="00362637">
        <w:rPr>
          <w:rFonts w:eastAsia="Times New Roman"/>
          <w:b/>
          <w:bCs/>
          <w:lang w:val="lt-LT"/>
        </w:rPr>
        <w:t>/pers. A/</w:t>
      </w:r>
      <w:r w:rsidR="00795E1F" w:rsidRPr="00362637">
        <w:rPr>
          <w:rFonts w:eastAsia="Times New Roman"/>
          <w:b/>
          <w:bCs/>
          <w:lang w:val="lt-LT"/>
        </w:rPr>
        <w:t xml:space="preserve"> </w:t>
      </w:r>
      <w:r w:rsidR="0073672D" w:rsidRPr="00362637">
        <w:rPr>
          <w:rFonts w:eastAsia="Times New Roman"/>
          <w:b/>
          <w:bCs/>
          <w:lang w:val="lt-LT"/>
        </w:rPr>
        <w:t>fiziskās</w:t>
      </w:r>
      <w:r w:rsidR="00795E1F" w:rsidRPr="00362637">
        <w:rPr>
          <w:rFonts w:eastAsia="Times New Roman"/>
          <w:b/>
          <w:bCs/>
          <w:lang w:val="lt-LT"/>
        </w:rPr>
        <w:t xml:space="preserve"> personas maksātnespējas procesā</w:t>
      </w:r>
    </w:p>
    <w:p w14:paraId="41FF0989" w14:textId="77777777" w:rsidR="00795E1F" w:rsidRPr="00362637" w:rsidRDefault="00795E1F" w:rsidP="00795E1F">
      <w:pPr>
        <w:widowControl/>
        <w:spacing w:after="0" w:line="240" w:lineRule="auto"/>
        <w:jc w:val="center"/>
        <w:rPr>
          <w:rFonts w:eastAsia="Times New Roman"/>
          <w:b/>
          <w:bCs/>
          <w:lang w:val="lt-LT"/>
        </w:rPr>
      </w:pPr>
    </w:p>
    <w:p w14:paraId="701D9F7D" w14:textId="77777777" w:rsidR="00795E1F" w:rsidRPr="00362637" w:rsidRDefault="00795E1F" w:rsidP="00795E1F">
      <w:pPr>
        <w:widowControl/>
        <w:spacing w:after="0" w:line="240" w:lineRule="auto"/>
        <w:jc w:val="center"/>
        <w:rPr>
          <w:rFonts w:eastAsia="Times New Roman"/>
          <w:b/>
          <w:bCs/>
          <w:lang w:val="lt-LT"/>
        </w:rPr>
      </w:pPr>
    </w:p>
    <w:p w14:paraId="3B7C6CA1" w14:textId="47B626E6" w:rsidR="00795E1F" w:rsidRPr="00362637" w:rsidRDefault="00795E1F" w:rsidP="00795E1F">
      <w:pPr>
        <w:spacing w:after="0" w:line="240" w:lineRule="auto"/>
        <w:ind w:firstLine="720"/>
        <w:jc w:val="both"/>
      </w:pPr>
      <w:r w:rsidRPr="00362637">
        <w:rPr>
          <w:iCs/>
          <w:lang w:eastAsia="en-US"/>
        </w:rPr>
        <w:t xml:space="preserve">Maksātnespējas kontroles dienestā 2025. gada </w:t>
      </w:r>
      <w:r w:rsidR="00755AAE" w:rsidRPr="00362637">
        <w:rPr>
          <w:iCs/>
          <w:lang w:eastAsia="en-US"/>
        </w:rPr>
        <w:t>5</w:t>
      </w:r>
      <w:r w:rsidRPr="00362637">
        <w:rPr>
          <w:iCs/>
          <w:lang w:eastAsia="en-US"/>
        </w:rPr>
        <w:t>. </w:t>
      </w:r>
      <w:r w:rsidR="00B46FF9" w:rsidRPr="00362637">
        <w:rPr>
          <w:iCs/>
          <w:lang w:eastAsia="en-US"/>
        </w:rPr>
        <w:t>septembrī</w:t>
      </w:r>
      <w:r w:rsidRPr="00362637">
        <w:rPr>
          <w:iCs/>
          <w:lang w:eastAsia="en-US"/>
        </w:rPr>
        <w:t xml:space="preserve"> saņemta </w:t>
      </w:r>
      <w:r w:rsidR="0023162E" w:rsidRPr="00362637">
        <w:t>/pers. A/</w:t>
      </w:r>
      <w:r w:rsidR="002F4097" w:rsidRPr="00362637">
        <w:t xml:space="preserve"> pilnvarotās personas </w:t>
      </w:r>
      <w:r w:rsidR="0023162E" w:rsidRPr="00362637">
        <w:t>/pers. B/</w:t>
      </w:r>
      <w:r w:rsidR="00997856" w:rsidRPr="00362637">
        <w:rPr>
          <w:b/>
          <w:bCs/>
        </w:rPr>
        <w:t xml:space="preserve"> </w:t>
      </w:r>
      <w:r w:rsidR="00997856" w:rsidRPr="00362637">
        <w:rPr>
          <w:bCs/>
          <w:lang w:eastAsia="en-US"/>
        </w:rPr>
        <w:t xml:space="preserve">(turpmāk – Iesniedzējs) </w:t>
      </w:r>
      <w:r w:rsidRPr="00362637">
        <w:rPr>
          <w:bCs/>
          <w:lang w:eastAsia="en-US"/>
        </w:rPr>
        <w:t xml:space="preserve">2025. gada </w:t>
      </w:r>
      <w:r w:rsidR="002F4097" w:rsidRPr="00362637">
        <w:rPr>
          <w:bCs/>
          <w:lang w:eastAsia="en-US"/>
        </w:rPr>
        <w:t>4</w:t>
      </w:r>
      <w:r w:rsidRPr="00362637">
        <w:rPr>
          <w:bCs/>
          <w:lang w:eastAsia="en-US"/>
        </w:rPr>
        <w:t>. </w:t>
      </w:r>
      <w:r w:rsidR="002F4097" w:rsidRPr="00362637">
        <w:rPr>
          <w:bCs/>
          <w:lang w:eastAsia="en-US"/>
        </w:rPr>
        <w:t>septembra</w:t>
      </w:r>
      <w:r w:rsidRPr="00362637">
        <w:rPr>
          <w:bCs/>
          <w:lang w:eastAsia="en-US"/>
        </w:rPr>
        <w:t xml:space="preserve"> </w:t>
      </w:r>
      <w:r w:rsidRPr="00362637">
        <w:rPr>
          <w:iCs/>
          <w:lang w:eastAsia="en-US"/>
        </w:rPr>
        <w:t>sūdzība</w:t>
      </w:r>
      <w:r w:rsidR="00AA15A2" w:rsidRPr="00362637">
        <w:rPr>
          <w:iCs/>
          <w:lang w:eastAsia="en-US"/>
        </w:rPr>
        <w:t xml:space="preserve"> </w:t>
      </w:r>
      <w:r w:rsidRPr="00362637">
        <w:rPr>
          <w:iCs/>
          <w:lang w:eastAsia="en-US"/>
        </w:rPr>
        <w:t xml:space="preserve">(turpmāk – Sūdzība) par maksātnespējas procesa administratores </w:t>
      </w:r>
      <w:r w:rsidR="0023162E" w:rsidRPr="00362637">
        <w:rPr>
          <w:iCs/>
          <w:lang w:eastAsia="en-US"/>
        </w:rPr>
        <w:t>/Administrators/</w:t>
      </w:r>
      <w:r w:rsidRPr="00362637">
        <w:rPr>
          <w:iCs/>
          <w:lang w:eastAsia="en-US"/>
        </w:rPr>
        <w:t>,amata apliecības</w:t>
      </w:r>
      <w:r w:rsidR="0023162E" w:rsidRPr="00362637">
        <w:rPr>
          <w:iCs/>
          <w:lang w:eastAsia="en-US"/>
        </w:rPr>
        <w:t xml:space="preserve"> numurs/</w:t>
      </w:r>
      <w:r w:rsidRPr="00362637">
        <w:rPr>
          <w:iCs/>
          <w:lang w:eastAsia="en-US"/>
        </w:rPr>
        <w:t xml:space="preserve">, (turpmāk – Administratore) rīcību </w:t>
      </w:r>
      <w:r w:rsidR="0023162E" w:rsidRPr="00362637">
        <w:rPr>
          <w:iCs/>
          <w:lang w:eastAsia="en-US"/>
        </w:rPr>
        <w:t>/pers. A/</w:t>
      </w:r>
      <w:r w:rsidR="00C0047B" w:rsidRPr="00362637">
        <w:rPr>
          <w:iCs/>
          <w:lang w:eastAsia="en-US"/>
        </w:rPr>
        <w:t xml:space="preserve"> </w:t>
      </w:r>
      <w:r w:rsidRPr="00362637">
        <w:rPr>
          <w:iCs/>
          <w:lang w:eastAsia="en-US"/>
        </w:rPr>
        <w:t>(t</w:t>
      </w:r>
      <w:r w:rsidRPr="00362637">
        <w:t xml:space="preserve">urpmāk – Parādnieks) </w:t>
      </w:r>
      <w:r w:rsidR="00C0047B" w:rsidRPr="00362637">
        <w:t>fiziskās</w:t>
      </w:r>
      <w:r w:rsidRPr="00362637">
        <w:t xml:space="preserve"> personas maksātnespējas procesā.</w:t>
      </w:r>
    </w:p>
    <w:p w14:paraId="2F603DD2" w14:textId="77777777" w:rsidR="00795E1F" w:rsidRPr="00362637" w:rsidRDefault="00795E1F" w:rsidP="00795E1F">
      <w:pPr>
        <w:spacing w:after="0" w:line="240" w:lineRule="auto"/>
        <w:ind w:firstLine="735"/>
        <w:jc w:val="both"/>
        <w:rPr>
          <w:b/>
          <w:iCs/>
          <w:lang w:eastAsia="en-US"/>
        </w:rPr>
      </w:pPr>
      <w:r w:rsidRPr="00362637">
        <w:rPr>
          <w:iCs/>
          <w:lang w:eastAsia="en-US"/>
        </w:rPr>
        <w:t xml:space="preserve">Izskatot Maksātnespējas kontroles dienesta rīcībā esošo informāciju par </w:t>
      </w:r>
      <w:r w:rsidRPr="00362637">
        <w:rPr>
          <w:bCs/>
          <w:lang w:eastAsia="en-US"/>
        </w:rPr>
        <w:t>Parādnieka</w:t>
      </w:r>
      <w:r w:rsidRPr="00362637">
        <w:rPr>
          <w:iCs/>
          <w:lang w:eastAsia="en-US"/>
        </w:rPr>
        <w:t xml:space="preserve"> maksātnespējas procesa gaitu,</w:t>
      </w:r>
      <w:r w:rsidRPr="00362637">
        <w:rPr>
          <w:b/>
          <w:iCs/>
          <w:lang w:eastAsia="en-US"/>
        </w:rPr>
        <w:t xml:space="preserve"> konstatēts:</w:t>
      </w:r>
    </w:p>
    <w:p w14:paraId="1A307942" w14:textId="704D730F" w:rsidR="00795E1F" w:rsidRPr="00362637" w:rsidRDefault="00795E1F" w:rsidP="00795E1F">
      <w:pPr>
        <w:spacing w:after="0" w:line="240" w:lineRule="auto"/>
        <w:ind w:firstLine="735"/>
        <w:jc w:val="both"/>
        <w:rPr>
          <w:iCs/>
          <w:lang w:eastAsia="en-US"/>
        </w:rPr>
      </w:pPr>
      <w:r w:rsidRPr="00362637">
        <w:rPr>
          <w:iCs/>
          <w:lang w:eastAsia="en-US"/>
        </w:rPr>
        <w:t>[1] Ar</w:t>
      </w:r>
      <w:r w:rsidR="0023162E" w:rsidRPr="00362637">
        <w:rPr>
          <w:iCs/>
          <w:lang w:eastAsia="en-US"/>
        </w:rPr>
        <w:t xml:space="preserve"> /</w:t>
      </w:r>
      <w:r w:rsidRPr="00362637">
        <w:rPr>
          <w:iCs/>
          <w:lang w:eastAsia="en-US"/>
        </w:rPr>
        <w:t>tiesas</w:t>
      </w:r>
      <w:r w:rsidR="0023162E" w:rsidRPr="00362637">
        <w:rPr>
          <w:iCs/>
          <w:lang w:eastAsia="en-US"/>
        </w:rPr>
        <w:t xml:space="preserve"> nosaukums/</w:t>
      </w:r>
      <w:r w:rsidRPr="00362637">
        <w:rPr>
          <w:iCs/>
          <w:lang w:eastAsia="en-US"/>
        </w:rPr>
        <w:t xml:space="preserve"> </w:t>
      </w:r>
      <w:r w:rsidR="0023162E" w:rsidRPr="00362637">
        <w:rPr>
          <w:iCs/>
          <w:lang w:eastAsia="en-US"/>
        </w:rPr>
        <w:t>/datums/</w:t>
      </w:r>
      <w:r w:rsidRPr="00362637">
        <w:rPr>
          <w:iCs/>
          <w:lang w:eastAsia="en-US"/>
        </w:rPr>
        <w:t xml:space="preserve"> spriedumu lietā </w:t>
      </w:r>
      <w:r w:rsidR="0023162E" w:rsidRPr="00362637">
        <w:rPr>
          <w:iCs/>
          <w:lang w:eastAsia="en-US"/>
        </w:rPr>
        <w:t>/lietas numurs/</w:t>
      </w:r>
      <w:r w:rsidR="004B7642" w:rsidRPr="00362637">
        <w:rPr>
          <w:iCs/>
          <w:lang w:eastAsia="en-US"/>
        </w:rPr>
        <w:t xml:space="preserve"> </w:t>
      </w:r>
      <w:r w:rsidR="006704BF" w:rsidRPr="00362637">
        <w:rPr>
          <w:iCs/>
          <w:lang w:eastAsia="en-US"/>
        </w:rPr>
        <w:t xml:space="preserve">(turpmāk – Spriedums) </w:t>
      </w:r>
      <w:r w:rsidRPr="00362637">
        <w:rPr>
          <w:iCs/>
          <w:lang w:eastAsia="en-US"/>
        </w:rPr>
        <w:t xml:space="preserve">pasludināts Parādnieka </w:t>
      </w:r>
      <w:r w:rsidR="00715B80" w:rsidRPr="00362637">
        <w:rPr>
          <w:iCs/>
          <w:lang w:eastAsia="en-US"/>
        </w:rPr>
        <w:t>fiziskās</w:t>
      </w:r>
      <w:r w:rsidRPr="00362637">
        <w:rPr>
          <w:iCs/>
          <w:lang w:eastAsia="en-US"/>
        </w:rPr>
        <w:t xml:space="preserve"> personas maksātnespējas process un par maksātnespējas procesa administratoru iecelta Administratore.</w:t>
      </w:r>
    </w:p>
    <w:p w14:paraId="50A895E4" w14:textId="77777777" w:rsidR="00795E1F" w:rsidRPr="00362637" w:rsidRDefault="00795E1F" w:rsidP="00936552">
      <w:pPr>
        <w:spacing w:after="0" w:line="240" w:lineRule="auto"/>
        <w:ind w:right="13" w:firstLine="709"/>
        <w:jc w:val="both"/>
        <w:rPr>
          <w:iCs/>
          <w:lang w:eastAsia="en-US"/>
        </w:rPr>
      </w:pPr>
      <w:r w:rsidRPr="00362637">
        <w:rPr>
          <w:iCs/>
          <w:lang w:eastAsia="en-US"/>
        </w:rPr>
        <w:t>[2] Sūdzībā norādīts turpmāk minētais.</w:t>
      </w:r>
    </w:p>
    <w:p w14:paraId="3818A2C5" w14:textId="6993FF87" w:rsidR="00F90997" w:rsidRPr="00362637" w:rsidRDefault="00795E1F" w:rsidP="00936552">
      <w:pPr>
        <w:spacing w:after="0" w:line="240" w:lineRule="auto"/>
        <w:ind w:right="13" w:firstLine="709"/>
        <w:jc w:val="both"/>
        <w:rPr>
          <w:iCs/>
          <w:lang w:eastAsia="en-US"/>
        </w:rPr>
      </w:pPr>
      <w:r w:rsidRPr="00362637">
        <w:rPr>
          <w:iCs/>
          <w:lang w:eastAsia="en-US"/>
        </w:rPr>
        <w:t>[2.1</w:t>
      </w:r>
      <w:r w:rsidR="00F90997" w:rsidRPr="00362637">
        <w:rPr>
          <w:iCs/>
          <w:lang w:eastAsia="en-US"/>
        </w:rPr>
        <w:t>]</w:t>
      </w:r>
      <w:r w:rsidR="00A102BC" w:rsidRPr="00362637">
        <w:rPr>
          <w:iCs/>
          <w:lang w:eastAsia="en-US"/>
        </w:rPr>
        <w:t> </w:t>
      </w:r>
      <w:r w:rsidR="00F90997" w:rsidRPr="00362637">
        <w:rPr>
          <w:iCs/>
          <w:lang w:eastAsia="en-US"/>
        </w:rPr>
        <w:t xml:space="preserve">Parādnieks sniedzot atbildi uz </w:t>
      </w:r>
      <w:r w:rsidR="00A102BC" w:rsidRPr="00362637">
        <w:rPr>
          <w:iCs/>
          <w:lang w:eastAsia="en-US"/>
        </w:rPr>
        <w:t xml:space="preserve">Administratores </w:t>
      </w:r>
      <w:r w:rsidR="00F90997" w:rsidRPr="00362637">
        <w:rPr>
          <w:iCs/>
          <w:lang w:eastAsia="en-US"/>
        </w:rPr>
        <w:t xml:space="preserve">pieprasījumu, kurā </w:t>
      </w:r>
      <w:r w:rsidR="00A102BC" w:rsidRPr="00362637">
        <w:rPr>
          <w:iCs/>
          <w:lang w:eastAsia="en-US"/>
        </w:rPr>
        <w:t xml:space="preserve">Administratore </w:t>
      </w:r>
      <w:r w:rsidR="00F90997" w:rsidRPr="00362637">
        <w:rPr>
          <w:iCs/>
          <w:lang w:eastAsia="en-US"/>
        </w:rPr>
        <w:t xml:space="preserve">pieprasīja norādīt Parādnieka kreditorus, norādīja, ka viņam ir kreditors - </w:t>
      </w:r>
      <w:r w:rsidR="00883CF5" w:rsidRPr="00362637">
        <w:rPr>
          <w:iCs/>
          <w:lang w:eastAsia="en-US"/>
        </w:rPr>
        <w:t>/Nosaukums A/</w:t>
      </w:r>
      <w:r w:rsidR="00832A3A" w:rsidRPr="00362637">
        <w:rPr>
          <w:iCs/>
          <w:lang w:eastAsia="en-US"/>
        </w:rPr>
        <w:t xml:space="preserve"> (turpmāk – </w:t>
      </w:r>
      <w:r w:rsidR="00E76070" w:rsidRPr="00362637">
        <w:rPr>
          <w:iCs/>
          <w:lang w:eastAsia="en-US"/>
        </w:rPr>
        <w:t>Ārvalsts kreditors)</w:t>
      </w:r>
      <w:r w:rsidR="00832A3A" w:rsidRPr="00362637">
        <w:rPr>
          <w:iCs/>
          <w:lang w:eastAsia="en-US"/>
        </w:rPr>
        <w:t>)</w:t>
      </w:r>
      <w:r w:rsidR="00810D13" w:rsidRPr="00362637">
        <w:rPr>
          <w:iCs/>
          <w:lang w:eastAsia="en-US"/>
        </w:rPr>
        <w:t>.</w:t>
      </w:r>
    </w:p>
    <w:p w14:paraId="24293CEE" w14:textId="75FED5CE" w:rsidR="00F90997" w:rsidRPr="00362637" w:rsidRDefault="00F90997" w:rsidP="00936552">
      <w:pPr>
        <w:spacing w:after="0" w:line="240" w:lineRule="auto"/>
        <w:ind w:right="13" w:firstLine="709"/>
        <w:jc w:val="both"/>
        <w:rPr>
          <w:iCs/>
          <w:lang w:eastAsia="en-US"/>
        </w:rPr>
      </w:pPr>
      <w:r w:rsidRPr="00362637">
        <w:rPr>
          <w:iCs/>
          <w:lang w:eastAsia="en-US"/>
        </w:rPr>
        <w:t xml:space="preserve">Ievadot </w:t>
      </w:r>
      <w:r w:rsidRPr="00362637">
        <w:rPr>
          <w:i/>
          <w:lang w:eastAsia="en-US"/>
        </w:rPr>
        <w:t>Google</w:t>
      </w:r>
      <w:r w:rsidRPr="00362637">
        <w:rPr>
          <w:iCs/>
          <w:lang w:eastAsia="en-US"/>
        </w:rPr>
        <w:t xml:space="preserve"> informāciju par </w:t>
      </w:r>
      <w:r w:rsidR="00796ADB" w:rsidRPr="00362637">
        <w:rPr>
          <w:iCs/>
          <w:lang w:eastAsia="en-US"/>
        </w:rPr>
        <w:t>Ārvalsts kreditoru,</w:t>
      </w:r>
      <w:r w:rsidRPr="00362637">
        <w:rPr>
          <w:iCs/>
          <w:lang w:eastAsia="en-US"/>
        </w:rPr>
        <w:t xml:space="preserve"> ir norādīta informācija:</w:t>
      </w:r>
      <w:r w:rsidR="004F31A5" w:rsidRPr="00362637">
        <w:rPr>
          <w:iCs/>
          <w:lang w:eastAsia="en-US"/>
        </w:rPr>
        <w:t xml:space="preserve"> /Nosaukums A/</w:t>
      </w:r>
      <w:r w:rsidRPr="00362637">
        <w:rPr>
          <w:i/>
          <w:lang w:eastAsia="en-US"/>
        </w:rPr>
        <w:t xml:space="preserve">., adrese: </w:t>
      </w:r>
      <w:r w:rsidR="00883CF5" w:rsidRPr="00362637">
        <w:rPr>
          <w:i/>
          <w:lang w:eastAsia="en-US"/>
        </w:rPr>
        <w:t>/adrese/</w:t>
      </w:r>
      <w:r w:rsidRPr="00362637">
        <w:rPr>
          <w:i/>
          <w:lang w:eastAsia="en-US"/>
        </w:rPr>
        <w:t>.</w:t>
      </w:r>
      <w:r w:rsidRPr="00362637">
        <w:rPr>
          <w:iCs/>
          <w:lang w:eastAsia="en-US"/>
        </w:rPr>
        <w:t xml:space="preserve"> </w:t>
      </w:r>
      <w:r w:rsidR="00170D41" w:rsidRPr="00362637">
        <w:rPr>
          <w:iCs/>
          <w:lang w:eastAsia="en-US"/>
        </w:rPr>
        <w:t>/Valsts nosaukums/</w:t>
      </w:r>
      <w:r w:rsidRPr="00362637">
        <w:rPr>
          <w:iCs/>
          <w:lang w:eastAsia="en-US"/>
        </w:rPr>
        <w:t xml:space="preserve"> finanšu pakalpojumu pārvalde ir licencējusi </w:t>
      </w:r>
      <w:r w:rsidR="001C5B20" w:rsidRPr="00362637">
        <w:rPr>
          <w:iCs/>
          <w:lang w:eastAsia="en-US"/>
        </w:rPr>
        <w:t>Ārvalst</w:t>
      </w:r>
      <w:r w:rsidR="000C79A4" w:rsidRPr="00362637">
        <w:rPr>
          <w:iCs/>
          <w:lang w:eastAsia="en-US"/>
        </w:rPr>
        <w:t>s</w:t>
      </w:r>
      <w:r w:rsidR="001C5B20" w:rsidRPr="00362637">
        <w:rPr>
          <w:iCs/>
          <w:lang w:eastAsia="en-US"/>
        </w:rPr>
        <w:t xml:space="preserve"> kreditoru</w:t>
      </w:r>
      <w:r w:rsidRPr="00362637">
        <w:rPr>
          <w:iCs/>
          <w:lang w:eastAsia="en-US"/>
        </w:rPr>
        <w:t xml:space="preserve"> kā kredītiestādi saskaņā ar Banku likumu.</w:t>
      </w:r>
    </w:p>
    <w:p w14:paraId="5D133660" w14:textId="12262CDD" w:rsidR="00F90997" w:rsidRPr="00362637" w:rsidRDefault="00F94DEF" w:rsidP="00936552">
      <w:pPr>
        <w:spacing w:after="0" w:line="240" w:lineRule="auto"/>
        <w:ind w:right="13" w:firstLine="709"/>
        <w:jc w:val="both"/>
        <w:rPr>
          <w:iCs/>
          <w:lang w:eastAsia="en-US"/>
        </w:rPr>
      </w:pPr>
      <w:r w:rsidRPr="00362637">
        <w:rPr>
          <w:iCs/>
          <w:lang w:eastAsia="en-US"/>
        </w:rPr>
        <w:t>Administratore pieteikum</w:t>
      </w:r>
      <w:r w:rsidR="00B13B5E" w:rsidRPr="00362637">
        <w:rPr>
          <w:iCs/>
          <w:lang w:eastAsia="en-US"/>
        </w:rPr>
        <w:t>ā</w:t>
      </w:r>
      <w:r w:rsidRPr="00362637">
        <w:rPr>
          <w:iCs/>
          <w:lang w:eastAsia="en-US"/>
        </w:rPr>
        <w:t xml:space="preserve"> tiesai</w:t>
      </w:r>
      <w:r w:rsidR="00F90997" w:rsidRPr="00362637">
        <w:rPr>
          <w:iCs/>
          <w:lang w:eastAsia="en-US"/>
        </w:rPr>
        <w:t xml:space="preserve"> nav norādījusi informāciju, ka viņa saskaņā ar E</w:t>
      </w:r>
      <w:r w:rsidR="002A0A34" w:rsidRPr="00362637">
        <w:rPr>
          <w:iCs/>
          <w:lang w:eastAsia="en-US"/>
        </w:rPr>
        <w:t>iropas</w:t>
      </w:r>
      <w:r w:rsidR="00F90997" w:rsidRPr="00362637">
        <w:rPr>
          <w:iCs/>
          <w:lang w:eastAsia="en-US"/>
        </w:rPr>
        <w:t xml:space="preserve"> </w:t>
      </w:r>
      <w:r w:rsidR="003D1A7E" w:rsidRPr="00362637">
        <w:rPr>
          <w:iCs/>
          <w:lang w:eastAsia="en-US"/>
        </w:rPr>
        <w:lastRenderedPageBreak/>
        <w:t>P</w:t>
      </w:r>
      <w:r w:rsidR="002A0A34" w:rsidRPr="00362637">
        <w:rPr>
          <w:iCs/>
          <w:lang w:eastAsia="en-US"/>
        </w:rPr>
        <w:t>arlamenta</w:t>
      </w:r>
      <w:r w:rsidR="00F90997" w:rsidRPr="00362637">
        <w:rPr>
          <w:iCs/>
          <w:lang w:eastAsia="en-US"/>
        </w:rPr>
        <w:t xml:space="preserve"> </w:t>
      </w:r>
      <w:r w:rsidR="002A0A34" w:rsidRPr="00362637">
        <w:rPr>
          <w:iCs/>
          <w:lang w:eastAsia="en-US"/>
        </w:rPr>
        <w:t xml:space="preserve">un </w:t>
      </w:r>
      <w:r w:rsidR="003D1A7E" w:rsidRPr="00362637">
        <w:rPr>
          <w:iCs/>
          <w:lang w:eastAsia="en-US"/>
        </w:rPr>
        <w:t>P</w:t>
      </w:r>
      <w:r w:rsidR="002A0A34" w:rsidRPr="00362637">
        <w:rPr>
          <w:iCs/>
          <w:lang w:eastAsia="en-US"/>
        </w:rPr>
        <w:t>adomes</w:t>
      </w:r>
      <w:r w:rsidR="00F90997" w:rsidRPr="00362637">
        <w:rPr>
          <w:iCs/>
          <w:lang w:eastAsia="en-US"/>
        </w:rPr>
        <w:t xml:space="preserve"> </w:t>
      </w:r>
      <w:r w:rsidR="00065D6B" w:rsidRPr="00362637">
        <w:rPr>
          <w:iCs/>
          <w:lang w:eastAsia="en-US"/>
        </w:rPr>
        <w:t xml:space="preserve">2015. gada 20. maija </w:t>
      </w:r>
      <w:r w:rsidR="00F90997" w:rsidRPr="00362637">
        <w:rPr>
          <w:iCs/>
          <w:lang w:eastAsia="en-US"/>
        </w:rPr>
        <w:t>R</w:t>
      </w:r>
      <w:r w:rsidR="00515136" w:rsidRPr="00362637">
        <w:rPr>
          <w:iCs/>
          <w:lang w:eastAsia="en-US"/>
        </w:rPr>
        <w:t>egul</w:t>
      </w:r>
      <w:r w:rsidR="00147AFA" w:rsidRPr="00362637">
        <w:rPr>
          <w:iCs/>
          <w:lang w:eastAsia="en-US"/>
        </w:rPr>
        <w:t>u</w:t>
      </w:r>
      <w:r w:rsidR="00F90997" w:rsidRPr="00362637">
        <w:rPr>
          <w:iCs/>
          <w:lang w:eastAsia="en-US"/>
        </w:rPr>
        <w:t xml:space="preserve"> (ES) </w:t>
      </w:r>
      <w:r w:rsidR="001146B3" w:rsidRPr="00362637">
        <w:rPr>
          <w:iCs/>
          <w:lang w:eastAsia="en-US"/>
        </w:rPr>
        <w:t>Nr. </w:t>
      </w:r>
      <w:hyperlink r:id="rId8" w:tgtFrame="_blank" w:history="1">
        <w:r w:rsidR="001146B3" w:rsidRPr="00362637">
          <w:rPr>
            <w:iCs/>
            <w:lang w:eastAsia="en-US"/>
          </w:rPr>
          <w:t>2015/848</w:t>
        </w:r>
      </w:hyperlink>
      <w:r w:rsidR="001146B3" w:rsidRPr="00362637">
        <w:rPr>
          <w:iCs/>
          <w:lang w:eastAsia="en-US"/>
        </w:rPr>
        <w:t xml:space="preserve"> </w:t>
      </w:r>
      <w:r w:rsidR="00F90997" w:rsidRPr="00362637">
        <w:rPr>
          <w:iCs/>
          <w:lang w:eastAsia="en-US"/>
        </w:rPr>
        <w:t>par maksātnespējas procedūrām</w:t>
      </w:r>
      <w:r w:rsidRPr="00362637">
        <w:rPr>
          <w:iCs/>
          <w:lang w:eastAsia="en-US"/>
        </w:rPr>
        <w:t xml:space="preserve"> (turpmāk – Regula) </w:t>
      </w:r>
      <w:r w:rsidR="00F90997" w:rsidRPr="00362637">
        <w:rPr>
          <w:iCs/>
          <w:lang w:eastAsia="en-US"/>
        </w:rPr>
        <w:t xml:space="preserve"> 54.</w:t>
      </w:r>
      <w:r w:rsidR="007923F0" w:rsidRPr="00362637">
        <w:rPr>
          <w:iCs/>
          <w:lang w:eastAsia="en-US"/>
        </w:rPr>
        <w:t> </w:t>
      </w:r>
      <w:r w:rsidR="00F90997" w:rsidRPr="00362637">
        <w:rPr>
          <w:iCs/>
          <w:lang w:eastAsia="en-US"/>
        </w:rPr>
        <w:t>pant</w:t>
      </w:r>
      <w:r w:rsidR="00515136" w:rsidRPr="00362637">
        <w:rPr>
          <w:iCs/>
          <w:lang w:eastAsia="en-US"/>
        </w:rPr>
        <w:t>ā noteikto</w:t>
      </w:r>
      <w:r w:rsidR="00F90997" w:rsidRPr="00362637">
        <w:rPr>
          <w:iCs/>
          <w:lang w:eastAsia="en-US"/>
        </w:rPr>
        <w:t xml:space="preserve"> ir informējusi </w:t>
      </w:r>
      <w:r w:rsidR="00B13B5E" w:rsidRPr="00362637">
        <w:rPr>
          <w:iCs/>
          <w:lang w:eastAsia="en-US"/>
        </w:rPr>
        <w:t>Ā</w:t>
      </w:r>
      <w:r w:rsidR="00F90997" w:rsidRPr="00362637">
        <w:rPr>
          <w:iCs/>
          <w:lang w:eastAsia="en-US"/>
        </w:rPr>
        <w:t>rvalstu kreditoru.</w:t>
      </w:r>
    </w:p>
    <w:p w14:paraId="4519D864" w14:textId="46375D40" w:rsidR="00F90997" w:rsidRPr="00362637" w:rsidRDefault="00F90997" w:rsidP="00936552">
      <w:pPr>
        <w:spacing w:after="0" w:line="240" w:lineRule="auto"/>
        <w:ind w:right="13" w:firstLine="709"/>
        <w:jc w:val="both"/>
        <w:rPr>
          <w:iCs/>
          <w:lang w:eastAsia="en-US"/>
        </w:rPr>
      </w:pPr>
      <w:r w:rsidRPr="00362637">
        <w:rPr>
          <w:iCs/>
          <w:lang w:eastAsia="en-US"/>
        </w:rPr>
        <w:t>Maksātnespējas likuma 26.</w:t>
      </w:r>
      <w:r w:rsidR="00361C86" w:rsidRPr="00362637">
        <w:rPr>
          <w:iCs/>
          <w:lang w:eastAsia="en-US"/>
        </w:rPr>
        <w:t> </w:t>
      </w:r>
      <w:r w:rsidRPr="00362637">
        <w:rPr>
          <w:iCs/>
          <w:lang w:eastAsia="en-US"/>
        </w:rPr>
        <w:t xml:space="preserve">panta </w:t>
      </w:r>
      <w:r w:rsidR="007923F0" w:rsidRPr="00362637">
        <w:rPr>
          <w:iCs/>
          <w:lang w:eastAsia="en-US"/>
        </w:rPr>
        <w:t xml:space="preserve">otrā </w:t>
      </w:r>
      <w:r w:rsidRPr="00362637">
        <w:rPr>
          <w:iCs/>
          <w:lang w:eastAsia="en-US"/>
        </w:rPr>
        <w:t xml:space="preserve">daļa nosaka, ka </w:t>
      </w:r>
      <w:r w:rsidR="007923F0" w:rsidRPr="00362637">
        <w:rPr>
          <w:iCs/>
          <w:lang w:eastAsia="en-US"/>
        </w:rPr>
        <w:t>a</w:t>
      </w:r>
      <w:r w:rsidRPr="00362637">
        <w:rPr>
          <w:iCs/>
          <w:lang w:eastAsia="en-US"/>
        </w:rPr>
        <w:t>dministrators nodrošina efektīvu un likumīgu juridiskās personas maksātnespējas procesa un fiziskās personas maksātnespējas procesa norisi un mērķu sasniegšanu.</w:t>
      </w:r>
    </w:p>
    <w:p w14:paraId="0B8F542A" w14:textId="123E25EC" w:rsidR="00F90997" w:rsidRPr="00362637" w:rsidRDefault="00F90997" w:rsidP="00936552">
      <w:pPr>
        <w:spacing w:after="0" w:line="240" w:lineRule="auto"/>
        <w:ind w:right="13" w:firstLine="709"/>
        <w:jc w:val="both"/>
        <w:rPr>
          <w:iCs/>
          <w:lang w:eastAsia="en-US"/>
        </w:rPr>
      </w:pPr>
      <w:r w:rsidRPr="00362637">
        <w:rPr>
          <w:iCs/>
          <w:lang w:eastAsia="en-US"/>
        </w:rPr>
        <w:t>Neinf</w:t>
      </w:r>
      <w:r w:rsidR="001159AC" w:rsidRPr="00362637">
        <w:rPr>
          <w:iCs/>
          <w:lang w:eastAsia="en-US"/>
        </w:rPr>
        <w:t>o</w:t>
      </w:r>
      <w:r w:rsidRPr="00362637">
        <w:rPr>
          <w:iCs/>
          <w:lang w:eastAsia="en-US"/>
        </w:rPr>
        <w:t xml:space="preserve">rmējot </w:t>
      </w:r>
      <w:r w:rsidR="007923F0" w:rsidRPr="00362637">
        <w:rPr>
          <w:iCs/>
          <w:lang w:eastAsia="en-US"/>
        </w:rPr>
        <w:t>Ārvalst</w:t>
      </w:r>
      <w:r w:rsidR="00EF6717" w:rsidRPr="00362637">
        <w:rPr>
          <w:iCs/>
          <w:lang w:eastAsia="en-US"/>
        </w:rPr>
        <w:t>s</w:t>
      </w:r>
      <w:r w:rsidR="007923F0" w:rsidRPr="00362637">
        <w:rPr>
          <w:iCs/>
          <w:lang w:eastAsia="en-US"/>
        </w:rPr>
        <w:t xml:space="preserve"> </w:t>
      </w:r>
      <w:r w:rsidRPr="00362637">
        <w:rPr>
          <w:iCs/>
          <w:lang w:eastAsia="en-US"/>
        </w:rPr>
        <w:t>kreditoru</w:t>
      </w:r>
      <w:r w:rsidR="002269C5" w:rsidRPr="00362637">
        <w:rPr>
          <w:iCs/>
          <w:lang w:eastAsia="en-US"/>
        </w:rPr>
        <w:t>,</w:t>
      </w:r>
      <w:r w:rsidRPr="00362637">
        <w:rPr>
          <w:iCs/>
          <w:lang w:eastAsia="en-US"/>
        </w:rPr>
        <w:t xml:space="preserve"> Administratore neievēro</w:t>
      </w:r>
      <w:r w:rsidR="00D44F48" w:rsidRPr="00362637">
        <w:rPr>
          <w:iCs/>
          <w:lang w:eastAsia="en-US"/>
        </w:rPr>
        <w:t>ja</w:t>
      </w:r>
      <w:r w:rsidRPr="00362637">
        <w:rPr>
          <w:iCs/>
          <w:lang w:eastAsia="en-US"/>
        </w:rPr>
        <w:t xml:space="preserve"> kreditoru vienlīdzības principu, jo attiecībā uz </w:t>
      </w:r>
      <w:r w:rsidR="002269C5" w:rsidRPr="00362637">
        <w:rPr>
          <w:iCs/>
          <w:lang w:eastAsia="en-US"/>
        </w:rPr>
        <w:t>Ārvalst</w:t>
      </w:r>
      <w:r w:rsidR="00EF6717" w:rsidRPr="00362637">
        <w:rPr>
          <w:iCs/>
          <w:lang w:eastAsia="en-US"/>
        </w:rPr>
        <w:t>s</w:t>
      </w:r>
      <w:r w:rsidR="002269C5" w:rsidRPr="00362637">
        <w:rPr>
          <w:iCs/>
          <w:lang w:eastAsia="en-US"/>
        </w:rPr>
        <w:t xml:space="preserve"> </w:t>
      </w:r>
      <w:r w:rsidRPr="00362637">
        <w:rPr>
          <w:iCs/>
          <w:lang w:eastAsia="en-US"/>
        </w:rPr>
        <w:t>kreditoru ir noteikta cita informēšanas kārtība</w:t>
      </w:r>
      <w:r w:rsidR="004C3EC3" w:rsidRPr="00362637">
        <w:rPr>
          <w:iCs/>
          <w:lang w:eastAsia="en-US"/>
        </w:rPr>
        <w:t>. Līdz</w:t>
      </w:r>
      <w:r w:rsidRPr="00362637">
        <w:rPr>
          <w:iCs/>
          <w:lang w:eastAsia="en-US"/>
        </w:rPr>
        <w:t xml:space="preserve"> ar to</w:t>
      </w:r>
      <w:r w:rsidR="004C3EC3" w:rsidRPr="00362637">
        <w:rPr>
          <w:iCs/>
          <w:lang w:eastAsia="en-US"/>
        </w:rPr>
        <w:t xml:space="preserve"> </w:t>
      </w:r>
      <w:r w:rsidR="002269C5" w:rsidRPr="00362637">
        <w:rPr>
          <w:iCs/>
          <w:lang w:eastAsia="en-US"/>
        </w:rPr>
        <w:t>Ārvalst</w:t>
      </w:r>
      <w:r w:rsidR="00EF6717" w:rsidRPr="00362637">
        <w:rPr>
          <w:iCs/>
          <w:lang w:eastAsia="en-US"/>
        </w:rPr>
        <w:t>s</w:t>
      </w:r>
      <w:r w:rsidR="002269C5" w:rsidRPr="00362637">
        <w:rPr>
          <w:iCs/>
          <w:lang w:eastAsia="en-US"/>
        </w:rPr>
        <w:t xml:space="preserve"> </w:t>
      </w:r>
      <w:r w:rsidRPr="00362637">
        <w:rPr>
          <w:iCs/>
          <w:lang w:eastAsia="en-US"/>
        </w:rPr>
        <w:t xml:space="preserve">kreditoram nav iespēja pieteikt savu kreditoru prasījumu, savukārt Parādniekam tas rada negatīvas sekas, jo izbeidzot maksātnespējas procesu un dzēšot saistības, šīs saistības, kuras ir pret </w:t>
      </w:r>
      <w:r w:rsidR="00EC62BB" w:rsidRPr="00362637">
        <w:rPr>
          <w:iCs/>
          <w:lang w:eastAsia="en-US"/>
        </w:rPr>
        <w:t>Ā</w:t>
      </w:r>
      <w:r w:rsidRPr="00362637">
        <w:rPr>
          <w:iCs/>
          <w:lang w:eastAsia="en-US"/>
        </w:rPr>
        <w:t>rvalst</w:t>
      </w:r>
      <w:r w:rsidR="00EF6717" w:rsidRPr="00362637">
        <w:rPr>
          <w:iCs/>
          <w:lang w:eastAsia="en-US"/>
        </w:rPr>
        <w:t>s</w:t>
      </w:r>
      <w:r w:rsidRPr="00362637">
        <w:rPr>
          <w:iCs/>
          <w:lang w:eastAsia="en-US"/>
        </w:rPr>
        <w:t xml:space="preserve"> kreditoru, netiktu dzēstas. </w:t>
      </w:r>
    </w:p>
    <w:p w14:paraId="77201521" w14:textId="6D0AA4D7" w:rsidR="00C42E1F" w:rsidRPr="00362637" w:rsidRDefault="00795E1F" w:rsidP="00E039E5">
      <w:pPr>
        <w:spacing w:after="0" w:line="240" w:lineRule="auto"/>
        <w:ind w:firstLine="709"/>
        <w:jc w:val="both"/>
        <w:rPr>
          <w:rFonts w:eastAsiaTheme="minorHAnsi"/>
          <w:color w:val="000000"/>
          <w:lang w:eastAsia="en-US"/>
          <w14:ligatures w14:val="standardContextual"/>
        </w:rPr>
      </w:pPr>
      <w:r w:rsidRPr="00362637">
        <w:rPr>
          <w:rFonts w:eastAsiaTheme="minorHAnsi"/>
          <w:color w:val="000000"/>
          <w:lang w:eastAsia="en-US"/>
          <w14:ligatures w14:val="standardContextual"/>
        </w:rPr>
        <w:t>[2.</w:t>
      </w:r>
      <w:r w:rsidR="00677598" w:rsidRPr="00362637">
        <w:rPr>
          <w:rFonts w:eastAsiaTheme="minorHAnsi"/>
          <w:color w:val="000000"/>
          <w:lang w:eastAsia="en-US"/>
          <w14:ligatures w14:val="standardContextual"/>
        </w:rPr>
        <w:t>2</w:t>
      </w:r>
      <w:r w:rsidRPr="00362637">
        <w:rPr>
          <w:rFonts w:eastAsiaTheme="minorHAnsi"/>
          <w:color w:val="000000"/>
          <w:lang w:eastAsia="en-US"/>
          <w14:ligatures w14:val="standardContextual"/>
        </w:rPr>
        <w:t>] Sūdzībā lūgts izvērtēt Administratores darbības atbilstību normatīvajiem aktiem</w:t>
      </w:r>
      <w:r w:rsidR="00B30F5C" w:rsidRPr="00362637">
        <w:rPr>
          <w:rFonts w:eastAsiaTheme="minorHAnsi"/>
          <w:color w:val="000000"/>
          <w:lang w:eastAsia="en-US"/>
          <w14:ligatures w14:val="standardContextual"/>
        </w:rPr>
        <w:t>, neinformējot Ārvalst</w:t>
      </w:r>
      <w:r w:rsidR="00EF6717" w:rsidRPr="00362637">
        <w:rPr>
          <w:rFonts w:eastAsiaTheme="minorHAnsi"/>
          <w:color w:val="000000"/>
          <w:lang w:eastAsia="en-US"/>
          <w14:ligatures w14:val="standardContextual"/>
        </w:rPr>
        <w:t>s</w:t>
      </w:r>
      <w:r w:rsidR="00B30F5C" w:rsidRPr="00362637">
        <w:rPr>
          <w:rFonts w:eastAsiaTheme="minorHAnsi"/>
          <w:color w:val="000000"/>
          <w:lang w:eastAsia="en-US"/>
          <w14:ligatures w14:val="standardContextual"/>
        </w:rPr>
        <w:t xml:space="preserve"> kreditoru </w:t>
      </w:r>
      <w:r w:rsidR="00931453" w:rsidRPr="00362637">
        <w:rPr>
          <w:rFonts w:eastAsiaTheme="minorHAnsi"/>
          <w:color w:val="000000"/>
          <w:lang w:eastAsia="en-US"/>
          <w14:ligatures w14:val="standardContextual"/>
        </w:rPr>
        <w:t>par Parādnieka maksātnespēju un kreditoru prasījumu iesniegšanu.</w:t>
      </w:r>
    </w:p>
    <w:p w14:paraId="41757047" w14:textId="24AA5F91" w:rsidR="00795E1F" w:rsidRPr="00362637" w:rsidRDefault="00795E1F" w:rsidP="00795E1F">
      <w:pPr>
        <w:spacing w:after="0" w:line="240" w:lineRule="auto"/>
        <w:ind w:right="13" w:firstLine="709"/>
        <w:jc w:val="both"/>
        <w:rPr>
          <w:iCs/>
          <w:lang w:eastAsia="en-US"/>
        </w:rPr>
      </w:pPr>
      <w:r w:rsidRPr="00362637">
        <w:rPr>
          <w:iCs/>
          <w:lang w:eastAsia="en-US"/>
        </w:rPr>
        <w:t xml:space="preserve">Sūdzībai pievienoti Iesniedzēja ieskatā </w:t>
      </w:r>
      <w:r w:rsidR="001823E7" w:rsidRPr="00362637">
        <w:rPr>
          <w:iCs/>
          <w:lang w:eastAsia="en-US"/>
        </w:rPr>
        <w:t xml:space="preserve">tās </w:t>
      </w:r>
      <w:r w:rsidRPr="00362637">
        <w:rPr>
          <w:iCs/>
          <w:lang w:eastAsia="en-US"/>
        </w:rPr>
        <w:t>pamatojoši dokumenti.</w:t>
      </w:r>
    </w:p>
    <w:p w14:paraId="51613E44" w14:textId="540E678D" w:rsidR="00795E1F" w:rsidRPr="00362637" w:rsidRDefault="00795E1F" w:rsidP="00795E1F">
      <w:pPr>
        <w:widowControl/>
        <w:spacing w:after="0" w:line="240" w:lineRule="auto"/>
        <w:ind w:firstLine="720"/>
        <w:jc w:val="both"/>
        <w:rPr>
          <w:rFonts w:eastAsia="Times New Roman"/>
        </w:rPr>
      </w:pPr>
      <w:r w:rsidRPr="00362637">
        <w:rPr>
          <w:lang w:eastAsia="en-US"/>
        </w:rPr>
        <w:t xml:space="preserve">[3] Maksātnespējas kontroles dienests ar 2025. gada </w:t>
      </w:r>
      <w:r w:rsidR="007A4BD1" w:rsidRPr="00362637">
        <w:rPr>
          <w:lang w:eastAsia="en-US"/>
        </w:rPr>
        <w:t>8</w:t>
      </w:r>
      <w:r w:rsidRPr="00362637">
        <w:rPr>
          <w:lang w:eastAsia="en-US"/>
        </w:rPr>
        <w:t>. </w:t>
      </w:r>
      <w:r w:rsidR="007A4BD1" w:rsidRPr="00362637">
        <w:rPr>
          <w:lang w:eastAsia="en-US"/>
        </w:rPr>
        <w:t>septembra</w:t>
      </w:r>
      <w:r w:rsidR="001D4DDD" w:rsidRPr="00362637">
        <w:rPr>
          <w:lang w:eastAsia="en-US"/>
        </w:rPr>
        <w:t xml:space="preserve"> </w:t>
      </w:r>
      <w:r w:rsidRPr="00362637">
        <w:rPr>
          <w:lang w:eastAsia="en-US"/>
        </w:rPr>
        <w:t xml:space="preserve">vēstuli lūdza Administratorei līdz 2025. gada </w:t>
      </w:r>
      <w:r w:rsidR="00574C6F" w:rsidRPr="00362637">
        <w:rPr>
          <w:lang w:eastAsia="en-US"/>
        </w:rPr>
        <w:t>15</w:t>
      </w:r>
      <w:r w:rsidRPr="00362637">
        <w:rPr>
          <w:lang w:eastAsia="en-US"/>
        </w:rPr>
        <w:t>. </w:t>
      </w:r>
      <w:r w:rsidR="00574C6F" w:rsidRPr="00362637">
        <w:rPr>
          <w:lang w:eastAsia="en-US"/>
        </w:rPr>
        <w:t>septembrim</w:t>
      </w:r>
      <w:r w:rsidRPr="00362637">
        <w:rPr>
          <w:color w:val="FF0000"/>
          <w:lang w:eastAsia="en-US"/>
        </w:rPr>
        <w:t xml:space="preserve"> </w:t>
      </w:r>
      <w:r w:rsidRPr="00362637">
        <w:rPr>
          <w:lang w:eastAsia="en-US"/>
        </w:rPr>
        <w:t xml:space="preserve">iesniegt rakstveida paskaidrojumus par Sūdzībā norādītajiem apstākļiem, kā arī </w:t>
      </w:r>
      <w:r w:rsidRPr="00362637">
        <w:rPr>
          <w:rFonts w:eastAsia="Times New Roman"/>
          <w:lang w:val="lt-LT" w:eastAsia="en-US"/>
        </w:rPr>
        <w:t>pievienot tos pamatojošos dokumentus.</w:t>
      </w:r>
    </w:p>
    <w:p w14:paraId="1A9E94D1" w14:textId="054E56A9" w:rsidR="00795E1F" w:rsidRPr="00362637" w:rsidRDefault="00795E1F" w:rsidP="00795E1F">
      <w:pPr>
        <w:widowControl/>
        <w:spacing w:after="0" w:line="240" w:lineRule="auto"/>
        <w:ind w:firstLine="709"/>
        <w:jc w:val="both"/>
        <w:rPr>
          <w:iCs/>
          <w:lang w:eastAsia="en-US"/>
        </w:rPr>
      </w:pPr>
      <w:r w:rsidRPr="00362637">
        <w:rPr>
          <w:rFonts w:eastAsia="Times New Roman"/>
        </w:rPr>
        <w:t>[4] </w:t>
      </w:r>
      <w:r w:rsidRPr="00362637">
        <w:rPr>
          <w:iCs/>
          <w:lang w:eastAsia="en-US"/>
        </w:rPr>
        <w:t xml:space="preserve">Maksātnespējas kontroles dienestā 2025. gada </w:t>
      </w:r>
      <w:r w:rsidR="008B0FF0" w:rsidRPr="00362637">
        <w:rPr>
          <w:iCs/>
          <w:lang w:eastAsia="en-US"/>
        </w:rPr>
        <w:t>10</w:t>
      </w:r>
      <w:r w:rsidRPr="00362637">
        <w:rPr>
          <w:iCs/>
          <w:lang w:eastAsia="en-US"/>
        </w:rPr>
        <w:t>. </w:t>
      </w:r>
      <w:r w:rsidR="008B0FF0" w:rsidRPr="00362637">
        <w:rPr>
          <w:iCs/>
          <w:lang w:eastAsia="en-US"/>
        </w:rPr>
        <w:t>septembrī</w:t>
      </w:r>
      <w:r w:rsidRPr="00362637">
        <w:rPr>
          <w:iCs/>
          <w:lang w:eastAsia="en-US"/>
        </w:rPr>
        <w:t xml:space="preserve"> saņemta Administratores 2025. gada </w:t>
      </w:r>
      <w:r w:rsidR="008B0FF0" w:rsidRPr="00362637">
        <w:rPr>
          <w:iCs/>
          <w:lang w:eastAsia="en-US"/>
        </w:rPr>
        <w:t>9</w:t>
      </w:r>
      <w:r w:rsidRPr="00362637">
        <w:rPr>
          <w:iCs/>
          <w:lang w:eastAsia="en-US"/>
        </w:rPr>
        <w:t>. </w:t>
      </w:r>
      <w:r w:rsidR="008B0FF0" w:rsidRPr="00362637">
        <w:rPr>
          <w:iCs/>
          <w:lang w:eastAsia="en-US"/>
        </w:rPr>
        <w:t>septembra</w:t>
      </w:r>
      <w:r w:rsidRPr="00362637">
        <w:rPr>
          <w:iCs/>
          <w:lang w:eastAsia="en-US"/>
        </w:rPr>
        <w:t xml:space="preserve"> vēstule </w:t>
      </w:r>
      <w:r w:rsidR="00883CF5" w:rsidRPr="00362637">
        <w:rPr>
          <w:iCs/>
          <w:lang w:eastAsia="en-US"/>
        </w:rPr>
        <w:t>/vēstules numurs/</w:t>
      </w:r>
      <w:r w:rsidRPr="00362637">
        <w:rPr>
          <w:iCs/>
          <w:lang w:eastAsia="en-US"/>
        </w:rPr>
        <w:t xml:space="preserve"> (turpmāk – Paskaidrojumi), kurā sniegti paskaidrojumi par Sūdzību.</w:t>
      </w:r>
    </w:p>
    <w:p w14:paraId="50BFCECC" w14:textId="77777777" w:rsidR="00795E1F" w:rsidRPr="00362637" w:rsidRDefault="00795E1F" w:rsidP="00795E1F">
      <w:pPr>
        <w:widowControl/>
        <w:spacing w:after="0" w:line="240" w:lineRule="auto"/>
        <w:ind w:firstLine="709"/>
        <w:jc w:val="both"/>
        <w:rPr>
          <w:iCs/>
          <w:lang w:eastAsia="en-US"/>
        </w:rPr>
      </w:pPr>
      <w:r w:rsidRPr="00362637">
        <w:rPr>
          <w:iCs/>
          <w:lang w:eastAsia="en-US"/>
        </w:rPr>
        <w:t>Paskaidrojumos norādīts turpmāk minētais.</w:t>
      </w:r>
    </w:p>
    <w:p w14:paraId="2B156CF6" w14:textId="50EE9BF4" w:rsidR="00C95F97" w:rsidRPr="00362637" w:rsidRDefault="00795E1F" w:rsidP="00C95F97">
      <w:pPr>
        <w:pStyle w:val="Default"/>
        <w:jc w:val="both"/>
      </w:pPr>
      <w:r w:rsidRPr="00362637">
        <w:rPr>
          <w:bCs/>
        </w:rPr>
        <w:tab/>
        <w:t>[4.1] </w:t>
      </w:r>
      <w:r w:rsidR="00C95F97" w:rsidRPr="00362637">
        <w:t>Atbilstoši Civilprocesa likuma 363.</w:t>
      </w:r>
      <w:r w:rsidR="00C95F97" w:rsidRPr="00362637">
        <w:rPr>
          <w:vertAlign w:val="superscript"/>
        </w:rPr>
        <w:t>23</w:t>
      </w:r>
      <w:r w:rsidR="00C95F97" w:rsidRPr="00362637">
        <w:t xml:space="preserve"> panta pirmās daļas 6.</w:t>
      </w:r>
      <w:r w:rsidR="00364C70" w:rsidRPr="00362637">
        <w:t> </w:t>
      </w:r>
      <w:r w:rsidR="00C95F97" w:rsidRPr="00362637">
        <w:t xml:space="preserve">punktam ziņas par to, vai maksātnespējas procesam piemērojami </w:t>
      </w:r>
      <w:r w:rsidR="004547D3" w:rsidRPr="00362637">
        <w:t xml:space="preserve">Regulas </w:t>
      </w:r>
      <w:r w:rsidR="00C95F97" w:rsidRPr="00362637">
        <w:t xml:space="preserve">noteikumi savā maksātnespējas pieteikumā norāda pats parādnieks. Parādnieks savā maksātnespējas pieteikumā ir viennozīmīgi norādījis, ka maksātnespējas procesa nav piemērojami </w:t>
      </w:r>
      <w:r w:rsidR="00C4086D" w:rsidRPr="00362637">
        <w:rPr>
          <w:iCs/>
        </w:rPr>
        <w:t>Regulas</w:t>
      </w:r>
      <w:r w:rsidR="00C4086D" w:rsidRPr="00362637">
        <w:t xml:space="preserve"> </w:t>
      </w:r>
      <w:r w:rsidR="00C95F97" w:rsidRPr="00362637">
        <w:t xml:space="preserve">noteikumi. Minētais norādīts arī </w:t>
      </w:r>
      <w:r w:rsidR="0062172D" w:rsidRPr="00362637">
        <w:t>S</w:t>
      </w:r>
      <w:r w:rsidR="00C95F97" w:rsidRPr="00362637">
        <w:t>priedumā par maksātnespējas procesa pasludināšanu.</w:t>
      </w:r>
    </w:p>
    <w:p w14:paraId="7001E26B" w14:textId="0122F40B" w:rsidR="00C95F97" w:rsidRPr="00362637" w:rsidRDefault="00722C74" w:rsidP="00C95F97">
      <w:pPr>
        <w:pStyle w:val="Default"/>
        <w:ind w:firstLine="720"/>
        <w:jc w:val="both"/>
      </w:pPr>
      <w:r w:rsidRPr="00362637">
        <w:t xml:space="preserve">Administratore uzskata, ka </w:t>
      </w:r>
      <w:r w:rsidR="00C95F97" w:rsidRPr="00362637">
        <w:t xml:space="preserve">Parādnieka maksātnespējas process arī pēc būtības nav atzīstams par pārrobežu maksātnespējas procesu. Proti, </w:t>
      </w:r>
      <w:r w:rsidR="00FE6994" w:rsidRPr="00362637">
        <w:t xml:space="preserve">Parādnieks </w:t>
      </w:r>
      <w:r w:rsidR="00C95F97" w:rsidRPr="00362637">
        <w:t xml:space="preserve">neveic saimniecisko darbību vairākās dalībvalstīs, atbilstoši </w:t>
      </w:r>
      <w:r w:rsidR="00FE6994" w:rsidRPr="00362637">
        <w:t xml:space="preserve">Parādnieka </w:t>
      </w:r>
      <w:r w:rsidR="00C95F97" w:rsidRPr="00362637">
        <w:t xml:space="preserve">sniegtajai informācijai </w:t>
      </w:r>
      <w:r w:rsidR="00FE6994" w:rsidRPr="00362637">
        <w:t xml:space="preserve">Parādniekam </w:t>
      </w:r>
      <w:r w:rsidR="00C95F97" w:rsidRPr="00362637">
        <w:t xml:space="preserve">citā dalībvalstī nav aktīvu, </w:t>
      </w:r>
      <w:r w:rsidR="00FE6994" w:rsidRPr="00362637">
        <w:t xml:space="preserve">Parādnieks </w:t>
      </w:r>
      <w:r w:rsidR="00C95F97" w:rsidRPr="00362637">
        <w:t xml:space="preserve">aizdevumu no </w:t>
      </w:r>
      <w:r w:rsidR="00FE6994" w:rsidRPr="00362637">
        <w:t>Ārvalst</w:t>
      </w:r>
      <w:r w:rsidR="00EF6717" w:rsidRPr="00362637">
        <w:t>s</w:t>
      </w:r>
      <w:r w:rsidR="00FE6994" w:rsidRPr="00362637">
        <w:t xml:space="preserve"> kreditora</w:t>
      </w:r>
      <w:r w:rsidR="00C95F97" w:rsidRPr="00362637">
        <w:t xml:space="preserve"> ir saņēmis Latvijā.</w:t>
      </w:r>
    </w:p>
    <w:p w14:paraId="135826E6" w14:textId="4C864E1E" w:rsidR="00C95F97" w:rsidRPr="00362637" w:rsidRDefault="00C95F97" w:rsidP="00C95F97">
      <w:pPr>
        <w:pStyle w:val="Default"/>
        <w:ind w:firstLine="720"/>
        <w:jc w:val="both"/>
      </w:pPr>
      <w:r w:rsidRPr="00362637">
        <w:t xml:space="preserve">Ņemot vērā iepriekš minēto, </w:t>
      </w:r>
      <w:r w:rsidR="008D7551" w:rsidRPr="00362637">
        <w:t xml:space="preserve">Administratorei </w:t>
      </w:r>
      <w:r w:rsidRPr="00362637">
        <w:t xml:space="preserve">nebija </w:t>
      </w:r>
      <w:r w:rsidR="008D7551" w:rsidRPr="00362637">
        <w:t xml:space="preserve">tiesiska </w:t>
      </w:r>
      <w:r w:rsidRPr="00362637">
        <w:t xml:space="preserve">pamata </w:t>
      </w:r>
      <w:r w:rsidR="008D7551" w:rsidRPr="00362637">
        <w:t xml:space="preserve">Parādnieka </w:t>
      </w:r>
      <w:r w:rsidRPr="00362637">
        <w:t xml:space="preserve">maksātnespējas procesā veikt </w:t>
      </w:r>
      <w:r w:rsidR="0062172D" w:rsidRPr="00362637">
        <w:rPr>
          <w:iCs/>
        </w:rPr>
        <w:t>Regul</w:t>
      </w:r>
      <w:r w:rsidR="00AD785D" w:rsidRPr="00362637">
        <w:rPr>
          <w:iCs/>
        </w:rPr>
        <w:t>ā</w:t>
      </w:r>
      <w:r w:rsidRPr="00362637">
        <w:t xml:space="preserve"> noteiktās darbības. Savukārt </w:t>
      </w:r>
      <w:r w:rsidR="008D7551" w:rsidRPr="00362637">
        <w:t>Parādniekam</w:t>
      </w:r>
      <w:r w:rsidRPr="00362637">
        <w:t xml:space="preserve">, saņemot kreditoru prasījumu reģistru un konstatējot, ka tajā nav iekļauts </w:t>
      </w:r>
      <w:r w:rsidR="008D7551" w:rsidRPr="00362637">
        <w:t>Ārvalst</w:t>
      </w:r>
      <w:r w:rsidR="00EF6717" w:rsidRPr="00362637">
        <w:t>s</w:t>
      </w:r>
      <w:r w:rsidR="008D7551" w:rsidRPr="00362637">
        <w:t xml:space="preserve"> kreditora</w:t>
      </w:r>
      <w:r w:rsidRPr="00362637">
        <w:t xml:space="preserve"> prasījums, nebija nekādu šķēršļu sazināties ar pašu kreditoru vai tā pilnvaroto personu  </w:t>
      </w:r>
      <w:r w:rsidR="00883CF5" w:rsidRPr="00362637">
        <w:t>/</w:t>
      </w:r>
      <w:r w:rsidRPr="00362637">
        <w:t xml:space="preserve">SIA </w:t>
      </w:r>
      <w:r w:rsidR="008D7551" w:rsidRPr="00362637">
        <w:t>"</w:t>
      </w:r>
      <w:r w:rsidR="00883CF5" w:rsidRPr="00362637">
        <w:t>Nosaukums B</w:t>
      </w:r>
      <w:r w:rsidR="008D7551" w:rsidRPr="00362637">
        <w:t>"</w:t>
      </w:r>
      <w:r w:rsidR="00883CF5" w:rsidRPr="00362637">
        <w:t>/</w:t>
      </w:r>
      <w:r w:rsidRPr="00362637">
        <w:t xml:space="preserve"> un informēt par sava maksātnespējas procesa uzsākšanu. </w:t>
      </w:r>
    </w:p>
    <w:p w14:paraId="75B24407" w14:textId="6D1E0A5D" w:rsidR="0040507C" w:rsidRPr="00362637" w:rsidRDefault="000674F9" w:rsidP="00D217F3">
      <w:pPr>
        <w:spacing w:after="0" w:line="240" w:lineRule="auto"/>
        <w:ind w:right="13" w:firstLine="709"/>
        <w:jc w:val="both"/>
        <w:rPr>
          <w:bCs/>
        </w:rPr>
      </w:pPr>
      <w:r w:rsidRPr="00362637">
        <w:rPr>
          <w:bCs/>
        </w:rPr>
        <w:tab/>
      </w:r>
      <w:r w:rsidR="0037230A" w:rsidRPr="00362637">
        <w:rPr>
          <w:iCs/>
          <w:lang w:eastAsia="en-US"/>
        </w:rPr>
        <w:t>Paskaidrojumiem</w:t>
      </w:r>
      <w:r w:rsidR="00D217F3" w:rsidRPr="00362637">
        <w:rPr>
          <w:iCs/>
          <w:lang w:eastAsia="en-US"/>
        </w:rPr>
        <w:t xml:space="preserve"> pievienoti </w:t>
      </w:r>
      <w:r w:rsidR="00ED1F33" w:rsidRPr="00362637">
        <w:rPr>
          <w:iCs/>
          <w:lang w:eastAsia="en-US"/>
        </w:rPr>
        <w:t>Administratores</w:t>
      </w:r>
      <w:r w:rsidR="00D217F3" w:rsidRPr="00362637">
        <w:rPr>
          <w:iCs/>
          <w:lang w:eastAsia="en-US"/>
        </w:rPr>
        <w:t xml:space="preserve"> ieskatā </w:t>
      </w:r>
      <w:r w:rsidR="005E26C4" w:rsidRPr="00362637">
        <w:rPr>
          <w:iCs/>
          <w:lang w:eastAsia="en-US"/>
        </w:rPr>
        <w:t xml:space="preserve">tos </w:t>
      </w:r>
      <w:r w:rsidR="00D217F3" w:rsidRPr="00362637">
        <w:rPr>
          <w:iCs/>
          <w:lang w:eastAsia="en-US"/>
        </w:rPr>
        <w:t>pamatojošie dokumenti</w:t>
      </w:r>
      <w:r w:rsidR="0064621B" w:rsidRPr="00362637">
        <w:rPr>
          <w:iCs/>
          <w:lang w:eastAsia="en-US"/>
        </w:rPr>
        <w:t xml:space="preserve">: </w:t>
      </w:r>
      <w:r w:rsidR="00883CF5" w:rsidRPr="00362637">
        <w:rPr>
          <w:iCs/>
          <w:lang w:eastAsia="en-US"/>
        </w:rPr>
        <w:t>/</w:t>
      </w:r>
      <w:r w:rsidR="00042250" w:rsidRPr="00362637">
        <w:rPr>
          <w:iCs/>
          <w:lang w:eastAsia="en-US"/>
        </w:rPr>
        <w:t>tiesas</w:t>
      </w:r>
      <w:r w:rsidR="00883CF5" w:rsidRPr="00362637">
        <w:rPr>
          <w:iCs/>
          <w:lang w:eastAsia="en-US"/>
        </w:rPr>
        <w:t xml:space="preserve"> nosaukums/</w:t>
      </w:r>
      <w:r w:rsidR="00042250" w:rsidRPr="00362637">
        <w:rPr>
          <w:iCs/>
          <w:lang w:eastAsia="en-US"/>
        </w:rPr>
        <w:t xml:space="preserve"> </w:t>
      </w:r>
      <w:r w:rsidR="00883CF5" w:rsidRPr="00362637">
        <w:rPr>
          <w:iCs/>
          <w:lang w:eastAsia="en-US"/>
        </w:rPr>
        <w:t>/datums/</w:t>
      </w:r>
      <w:r w:rsidR="00042250" w:rsidRPr="00362637">
        <w:rPr>
          <w:iCs/>
          <w:lang w:eastAsia="en-US"/>
        </w:rPr>
        <w:t xml:space="preserve"> spriedums lietā </w:t>
      </w:r>
      <w:r w:rsidR="00883CF5" w:rsidRPr="00362637">
        <w:rPr>
          <w:iCs/>
          <w:lang w:eastAsia="en-US"/>
        </w:rPr>
        <w:t>/lietas numurs/</w:t>
      </w:r>
      <w:r w:rsidR="00042250" w:rsidRPr="00362637">
        <w:rPr>
          <w:iCs/>
          <w:lang w:eastAsia="en-US"/>
        </w:rPr>
        <w:t xml:space="preserve"> un </w:t>
      </w:r>
      <w:r w:rsidR="00883CF5" w:rsidRPr="00362637">
        <w:rPr>
          <w:iCs/>
          <w:lang w:eastAsia="en-US"/>
        </w:rPr>
        <w:t>/datums/</w:t>
      </w:r>
      <w:r w:rsidR="003C26E4" w:rsidRPr="00362637">
        <w:rPr>
          <w:iCs/>
          <w:lang w:eastAsia="en-US"/>
        </w:rPr>
        <w:t xml:space="preserve"> </w:t>
      </w:r>
      <w:r w:rsidR="00595C81" w:rsidRPr="00362637">
        <w:rPr>
          <w:iCs/>
          <w:lang w:eastAsia="en-US"/>
        </w:rPr>
        <w:t>P</w:t>
      </w:r>
      <w:r w:rsidR="001B687C" w:rsidRPr="00362637">
        <w:rPr>
          <w:iCs/>
          <w:lang w:eastAsia="en-US"/>
        </w:rPr>
        <w:t xml:space="preserve">arādnieka pieteikums </w:t>
      </w:r>
      <w:r w:rsidR="00883CF5" w:rsidRPr="00362637">
        <w:rPr>
          <w:iCs/>
          <w:lang w:eastAsia="en-US"/>
        </w:rPr>
        <w:t>/</w:t>
      </w:r>
      <w:r w:rsidR="001B687C" w:rsidRPr="00362637">
        <w:rPr>
          <w:iCs/>
          <w:lang w:eastAsia="en-US"/>
        </w:rPr>
        <w:t>ties</w:t>
      </w:r>
      <w:r w:rsidR="007647DF" w:rsidRPr="00362637">
        <w:rPr>
          <w:iCs/>
          <w:lang w:eastAsia="en-US"/>
        </w:rPr>
        <w:t>a</w:t>
      </w:r>
      <w:r w:rsidR="00883CF5" w:rsidRPr="00362637">
        <w:rPr>
          <w:iCs/>
          <w:lang w:eastAsia="en-US"/>
        </w:rPr>
        <w:t>s nosaukums/</w:t>
      </w:r>
      <w:r w:rsidR="001B687C" w:rsidRPr="00362637">
        <w:rPr>
          <w:iCs/>
          <w:lang w:eastAsia="en-US"/>
        </w:rPr>
        <w:t xml:space="preserve"> par</w:t>
      </w:r>
      <w:r w:rsidR="007647DF" w:rsidRPr="00362637">
        <w:rPr>
          <w:iCs/>
          <w:lang w:eastAsia="en-US"/>
        </w:rPr>
        <w:t xml:space="preserve"> maksātnespēj</w:t>
      </w:r>
      <w:r w:rsidR="008D7551" w:rsidRPr="00362637">
        <w:rPr>
          <w:iCs/>
          <w:lang w:eastAsia="en-US"/>
        </w:rPr>
        <w:t>as procesa pasludināšanu</w:t>
      </w:r>
      <w:r w:rsidR="004D76C9" w:rsidRPr="00362637">
        <w:rPr>
          <w:iCs/>
          <w:lang w:eastAsia="en-US"/>
        </w:rPr>
        <w:t>.</w:t>
      </w:r>
    </w:p>
    <w:p w14:paraId="698FA1D4" w14:textId="0BF1AFE8" w:rsidR="00795E1F" w:rsidRPr="00362637" w:rsidRDefault="00795E1F" w:rsidP="00795E1F">
      <w:pPr>
        <w:spacing w:after="0" w:line="240" w:lineRule="auto"/>
        <w:ind w:firstLine="709"/>
        <w:jc w:val="both"/>
        <w:rPr>
          <w:bCs/>
        </w:rPr>
      </w:pPr>
      <w:r w:rsidRPr="00362637">
        <w:rPr>
          <w:iCs/>
          <w:lang w:eastAsia="en-US"/>
        </w:rPr>
        <w:t>[5] </w:t>
      </w:r>
      <w:r w:rsidRPr="00362637">
        <w:rPr>
          <w:rFonts w:eastAsia="Times New Roman"/>
        </w:rPr>
        <w:t xml:space="preserve">Izvērtējot Sūdzībā un Administratores </w:t>
      </w:r>
      <w:r w:rsidR="00F722D5" w:rsidRPr="00362637">
        <w:rPr>
          <w:rFonts w:eastAsia="Times New Roman"/>
        </w:rPr>
        <w:t xml:space="preserve">Paskaidrojumos </w:t>
      </w:r>
      <w:r w:rsidRPr="00362637">
        <w:rPr>
          <w:rFonts w:eastAsia="Times New Roman"/>
        </w:rPr>
        <w:t xml:space="preserve">norādīto informāciju, kā arī maksātnespējas procesu reglamentējošās tiesību normas, </w:t>
      </w:r>
      <w:r w:rsidRPr="00362637">
        <w:rPr>
          <w:rFonts w:eastAsia="Times New Roman"/>
          <w:b/>
        </w:rPr>
        <w:t xml:space="preserve">secināms </w:t>
      </w:r>
      <w:r w:rsidRPr="00362637">
        <w:rPr>
          <w:rFonts w:eastAsia="Times New Roman"/>
        </w:rPr>
        <w:t>turpmāk minētais.</w:t>
      </w:r>
    </w:p>
    <w:p w14:paraId="4640296B" w14:textId="106E28C0" w:rsidR="00795E1F" w:rsidRPr="00362637" w:rsidRDefault="00795E1F" w:rsidP="00795E1F">
      <w:pPr>
        <w:tabs>
          <w:tab w:val="left" w:pos="2450"/>
        </w:tabs>
        <w:spacing w:after="0" w:line="240" w:lineRule="auto"/>
        <w:ind w:firstLine="735"/>
        <w:jc w:val="both"/>
        <w:rPr>
          <w:rFonts w:eastAsia="Times New Roman"/>
        </w:rPr>
      </w:pPr>
      <w:r w:rsidRPr="00362637">
        <w:rPr>
          <w:rFonts w:eastAsia="Times New Roman"/>
        </w:rPr>
        <w:t>[5.1] Maksātnespējas likuma 174.</w:t>
      </w:r>
      <w:r w:rsidRPr="00362637">
        <w:rPr>
          <w:rFonts w:eastAsia="Times New Roman"/>
          <w:vertAlign w:val="superscript"/>
        </w:rPr>
        <w:t>1 </w:t>
      </w:r>
      <w:r w:rsidRPr="00362637">
        <w:rPr>
          <w:rFonts w:eastAsia="Times New Roman"/>
        </w:rPr>
        <w:t xml:space="preserve">panta 1. un 2. punktā noteikts, ka Maksātnespējas kontroles dienests veic administratoru uzraudzību un izskata sūdzības par administratoru rīcību, </w:t>
      </w:r>
      <w:r w:rsidR="00883CF5" w:rsidRPr="00362637">
        <w:rPr>
          <w:rFonts w:eastAsia="Times New Roman"/>
        </w:rPr>
        <w:t>/</w:t>
      </w:r>
      <w:r w:rsidRPr="00362637">
        <w:rPr>
          <w:rFonts w:eastAsia="Times New Roman"/>
        </w:rPr>
        <w:t>izņemot tos likumā noteiktos gadījumus, kad sūdzības par administratoru lēmumiem izskatāmas tiesā, kurā ierosināta attiecīgā maksātnespējas procesa lieta.</w:t>
      </w:r>
    </w:p>
    <w:p w14:paraId="2681BAD3" w14:textId="3ECE5F3D" w:rsidR="00795E1F" w:rsidRPr="00362637" w:rsidRDefault="00795E1F" w:rsidP="00795E1F">
      <w:pPr>
        <w:tabs>
          <w:tab w:val="left" w:pos="993"/>
          <w:tab w:val="left" w:pos="1134"/>
        </w:tabs>
        <w:spacing w:after="0" w:line="240" w:lineRule="auto"/>
        <w:ind w:firstLine="709"/>
        <w:jc w:val="both"/>
        <w:rPr>
          <w:iCs/>
          <w:color w:val="000000" w:themeColor="text1"/>
          <w:lang w:eastAsia="en-US"/>
        </w:rPr>
      </w:pPr>
      <w:r w:rsidRPr="00362637">
        <w:rPr>
          <w:color w:val="000000" w:themeColor="text1"/>
        </w:rPr>
        <w:t xml:space="preserve">Savukārt Maksātnespējas likuma 176. panta pirmajā daļā noteikts, ka </w:t>
      </w:r>
      <w:r w:rsidRPr="00362637">
        <w:rPr>
          <w:color w:val="000000" w:themeColor="text1"/>
          <w:shd w:val="clear" w:color="auto" w:fill="FFFFFF"/>
        </w:rPr>
        <w:t>kreditors, komercsabiedrība (tiesiskās aizsardzības procesā), fiziskā persona (šīs personas maksātnespējas procesā), parādnieka pārstāvis (</w:t>
      </w:r>
      <w:r w:rsidR="00ED1F33" w:rsidRPr="00362637">
        <w:rPr>
          <w:color w:val="000000" w:themeColor="text1"/>
          <w:shd w:val="clear" w:color="auto" w:fill="FFFFFF"/>
        </w:rPr>
        <w:t>fiziskās</w:t>
      </w:r>
      <w:r w:rsidRPr="00362637">
        <w:rPr>
          <w:color w:val="000000" w:themeColor="text1"/>
          <w:shd w:val="clear" w:color="auto" w:fill="FFFFFF"/>
        </w:rPr>
        <w:t xml:space="preserve"> personas maksātnespējas procesā) vai trešā persona, kuras likumiskās tiesības ir aizskartas, var iesniegt Maksātnespējas kontroles dienestam sūdzību par administratora vai tiesiskās aizsardzības procesa uzraugošās personas rīcību.</w:t>
      </w:r>
      <w:r w:rsidRPr="00362637">
        <w:rPr>
          <w:iCs/>
          <w:color w:val="000000" w:themeColor="text1"/>
          <w:lang w:eastAsia="en-US"/>
        </w:rPr>
        <w:t xml:space="preserve"> </w:t>
      </w:r>
    </w:p>
    <w:p w14:paraId="324697FD" w14:textId="04E9040E" w:rsidR="006D2766" w:rsidRPr="00362637" w:rsidRDefault="00795E1F" w:rsidP="006D2766">
      <w:pPr>
        <w:tabs>
          <w:tab w:val="left" w:pos="993"/>
          <w:tab w:val="left" w:pos="1134"/>
        </w:tabs>
        <w:spacing w:after="0" w:line="240" w:lineRule="auto"/>
        <w:ind w:firstLine="709"/>
        <w:jc w:val="both"/>
      </w:pPr>
      <w:r w:rsidRPr="00362637">
        <w:rPr>
          <w:iCs/>
          <w:lang w:eastAsia="en-US"/>
        </w:rPr>
        <w:t xml:space="preserve">[5.2] Sūdzībā izteikta </w:t>
      </w:r>
      <w:r w:rsidR="007D3C3F" w:rsidRPr="00362637">
        <w:rPr>
          <w:iCs/>
          <w:lang w:eastAsia="en-US"/>
        </w:rPr>
        <w:t xml:space="preserve">pretenzija </w:t>
      </w:r>
      <w:r w:rsidRPr="00362637">
        <w:rPr>
          <w:iCs/>
          <w:lang w:eastAsia="en-US"/>
        </w:rPr>
        <w:t>par Administratores rīcību</w:t>
      </w:r>
      <w:r w:rsidR="007D3C3F" w:rsidRPr="00362637">
        <w:rPr>
          <w:iCs/>
          <w:lang w:eastAsia="en-US"/>
        </w:rPr>
        <w:t>,</w:t>
      </w:r>
      <w:r w:rsidR="007C50EC" w:rsidRPr="00362637">
        <w:rPr>
          <w:iCs/>
          <w:lang w:eastAsia="en-US"/>
        </w:rPr>
        <w:t xml:space="preserve"> </w:t>
      </w:r>
      <w:bookmarkStart w:id="0" w:name="_Hlk163675678"/>
      <w:bookmarkStart w:id="1" w:name="_Hlk163667418"/>
      <w:r w:rsidR="006D2766" w:rsidRPr="00362637">
        <w:t xml:space="preserve">neinformējot </w:t>
      </w:r>
      <w:r w:rsidR="00CA1A17" w:rsidRPr="00362637">
        <w:t>Ārvalst</w:t>
      </w:r>
      <w:r w:rsidR="00EF6717" w:rsidRPr="00362637">
        <w:t>s</w:t>
      </w:r>
      <w:r w:rsidR="00CA1A17" w:rsidRPr="00362637">
        <w:t xml:space="preserve"> </w:t>
      </w:r>
      <w:r w:rsidR="006D2766" w:rsidRPr="00362637">
        <w:t xml:space="preserve">kreditoru </w:t>
      </w:r>
      <w:r w:rsidR="00060354" w:rsidRPr="00362637">
        <w:t xml:space="preserve">par </w:t>
      </w:r>
      <w:r w:rsidR="00714958" w:rsidRPr="00362637">
        <w:t>Parādnieka maksātnespējas proces</w:t>
      </w:r>
      <w:r w:rsidR="00E249F1" w:rsidRPr="00362637">
        <w:t>u un kreditoru prasījumu iesniegšanu.</w:t>
      </w:r>
    </w:p>
    <w:p w14:paraId="56E75338" w14:textId="31F74E7F" w:rsidR="00DD3F13" w:rsidRPr="00362637" w:rsidRDefault="007B4353" w:rsidP="007B4353">
      <w:pPr>
        <w:tabs>
          <w:tab w:val="left" w:pos="993"/>
          <w:tab w:val="left" w:pos="1134"/>
        </w:tabs>
        <w:spacing w:after="0" w:line="240" w:lineRule="auto"/>
        <w:ind w:firstLine="567"/>
        <w:jc w:val="both"/>
        <w:rPr>
          <w:iCs/>
        </w:rPr>
      </w:pPr>
      <w:r w:rsidRPr="00362637">
        <w:t xml:space="preserve">   Izvērtējot Sūdzībā un Administratores </w:t>
      </w:r>
      <w:r w:rsidR="007738E6" w:rsidRPr="00362637">
        <w:t xml:space="preserve">Paskaidrojumos </w:t>
      </w:r>
      <w:r w:rsidRPr="00362637">
        <w:t xml:space="preserve">norādīto informāciju, </w:t>
      </w:r>
      <w:r w:rsidR="007D3C3F" w:rsidRPr="00362637">
        <w:lastRenderedPageBreak/>
        <w:t>konstatējams</w:t>
      </w:r>
      <w:r w:rsidR="006D152B" w:rsidRPr="00362637">
        <w:t xml:space="preserve">, ka Parādnieks </w:t>
      </w:r>
      <w:r w:rsidR="006D152B" w:rsidRPr="00362637">
        <w:rPr>
          <w:iCs/>
          <w:lang w:eastAsia="en-US"/>
        </w:rPr>
        <w:t xml:space="preserve">2025. gada 24. marta </w:t>
      </w:r>
      <w:r w:rsidR="007738E6" w:rsidRPr="00362637">
        <w:rPr>
          <w:iCs/>
          <w:lang w:eastAsia="en-US"/>
        </w:rPr>
        <w:t xml:space="preserve">pieteikumā </w:t>
      </w:r>
      <w:r w:rsidR="00BB18CE" w:rsidRPr="00362637">
        <w:rPr>
          <w:iCs/>
          <w:lang w:eastAsia="en-US"/>
        </w:rPr>
        <w:t xml:space="preserve">pie saistībām, kurām </w:t>
      </w:r>
      <w:r w:rsidR="00A70A06" w:rsidRPr="00362637">
        <w:rPr>
          <w:iCs/>
          <w:lang w:eastAsia="en-US"/>
        </w:rPr>
        <w:t xml:space="preserve">iestājies izpildes termiņš, norādījis neizpildītas </w:t>
      </w:r>
      <w:r w:rsidR="0099698C" w:rsidRPr="00362637">
        <w:rPr>
          <w:iCs/>
          <w:lang w:eastAsia="en-US"/>
        </w:rPr>
        <w:t>parādsaistības Ārvalsts kreditoram 11</w:t>
      </w:r>
      <w:r w:rsidR="00587D4E" w:rsidRPr="00362637">
        <w:rPr>
          <w:iCs/>
          <w:lang w:eastAsia="en-US"/>
        </w:rPr>
        <w:t xml:space="preserve"> </w:t>
      </w:r>
      <w:r w:rsidR="0099698C" w:rsidRPr="00362637">
        <w:rPr>
          <w:iCs/>
          <w:lang w:eastAsia="en-US"/>
        </w:rPr>
        <w:t xml:space="preserve">050,18 </w:t>
      </w:r>
      <w:r w:rsidR="00587D4E" w:rsidRPr="00362637">
        <w:rPr>
          <w:i/>
          <w:lang w:eastAsia="en-US"/>
        </w:rPr>
        <w:t>euro</w:t>
      </w:r>
      <w:r w:rsidR="0099698C" w:rsidRPr="00362637">
        <w:rPr>
          <w:iCs/>
          <w:lang w:eastAsia="en-US"/>
        </w:rPr>
        <w:t>.</w:t>
      </w:r>
    </w:p>
    <w:p w14:paraId="12C4E6B1" w14:textId="5215F8E9" w:rsidR="00030958" w:rsidRPr="00362637" w:rsidRDefault="0099698C" w:rsidP="00F13C88">
      <w:pPr>
        <w:spacing w:after="0" w:line="240" w:lineRule="auto"/>
        <w:ind w:firstLine="709"/>
        <w:jc w:val="both"/>
        <w:rPr>
          <w:rFonts w:eastAsia="Times New Roman"/>
        </w:rPr>
      </w:pPr>
      <w:r w:rsidRPr="00362637">
        <w:rPr>
          <w:rFonts w:eastAsia="Times New Roman"/>
        </w:rPr>
        <w:t xml:space="preserve">Tā kā </w:t>
      </w:r>
      <w:r w:rsidR="00C33F1E" w:rsidRPr="00362637">
        <w:rPr>
          <w:rFonts w:eastAsia="Times New Roman"/>
        </w:rPr>
        <w:t xml:space="preserve">ārvalstu </w:t>
      </w:r>
      <w:r w:rsidR="00030958" w:rsidRPr="00362637">
        <w:rPr>
          <w:rFonts w:eastAsia="Times New Roman"/>
        </w:rPr>
        <w:t>kreditoriem ir salīdzinoši sarežģītāk uzzināt par Latvijas Republikā pasludinātu maksātnespējas procesu nekā vietējiem kreditoriem un savlaicīgi iesniegt kreditoru prasījumu</w:t>
      </w:r>
      <w:r w:rsidRPr="00362637">
        <w:rPr>
          <w:rFonts w:eastAsia="Times New Roman"/>
        </w:rPr>
        <w:t>,</w:t>
      </w:r>
      <w:r w:rsidR="00030958" w:rsidRPr="00362637">
        <w:rPr>
          <w:rFonts w:eastAsia="Times New Roman"/>
        </w:rPr>
        <w:t xml:space="preserve"> Regula paredz darbības, kas administratoram ir jāveic, ja maksātnespējas procesā ir konstatējami pārrobežu elementi. Regula par maksātnespējas procedūrām Latvijas Republikā ir tieši piemērojama un gadījumā, ja Latvijas Republikā pasludinātā maksātnespējas procesā ir nepieciešams risināt jautājumus, kas saistīti ar pārrobežu elementu Eiropas Savienības telpā</w:t>
      </w:r>
      <w:r w:rsidR="00E464AB" w:rsidRPr="00362637">
        <w:rPr>
          <w:rFonts w:eastAsia="Times New Roman"/>
        </w:rPr>
        <w:t>.</w:t>
      </w:r>
    </w:p>
    <w:p w14:paraId="26D2C455" w14:textId="69615558" w:rsidR="00030958" w:rsidRPr="00362637" w:rsidRDefault="00182B3C" w:rsidP="00F13C88">
      <w:pPr>
        <w:spacing w:after="0" w:line="240" w:lineRule="auto"/>
        <w:ind w:firstLine="709"/>
        <w:jc w:val="both"/>
        <w:rPr>
          <w:rFonts w:eastAsia="Times New Roman"/>
        </w:rPr>
      </w:pPr>
      <w:r w:rsidRPr="00362637">
        <w:rPr>
          <w:rFonts w:eastAsia="Times New Roman"/>
        </w:rPr>
        <w:t>Tieši</w:t>
      </w:r>
      <w:r w:rsidR="00030958" w:rsidRPr="00362637">
        <w:rPr>
          <w:rFonts w:eastAsia="Times New Roman"/>
        </w:rPr>
        <w:t xml:space="preserve"> no Regulas par maksātnespējas procedūrām 54. panta 1. punkta izriet, ka tiklīdz kādā dalībvalstī ir sākta maksātnespējas procedūra, šīs valsts tiesa, kurai ir piekritība, vai tās ieceltais administrators nekavējoties informē zināmos ārvalstu kreditorus.</w:t>
      </w:r>
      <w:r w:rsidRPr="00362637">
        <w:rPr>
          <w:rFonts w:eastAsia="Times New Roman"/>
        </w:rPr>
        <w:t xml:space="preserve"> Šī norma ir imperatīva un </w:t>
      </w:r>
      <w:r w:rsidR="00587972" w:rsidRPr="00362637">
        <w:rPr>
          <w:rFonts w:eastAsia="Times New Roman"/>
        </w:rPr>
        <w:t>obligāti izpildāma.</w:t>
      </w:r>
    </w:p>
    <w:p w14:paraId="7EC2B4E9" w14:textId="5FFEE88B" w:rsidR="00030958" w:rsidRPr="00362637" w:rsidRDefault="00030958" w:rsidP="00F13C88">
      <w:pPr>
        <w:spacing w:after="0" w:line="240" w:lineRule="auto"/>
        <w:ind w:firstLine="709"/>
        <w:jc w:val="both"/>
        <w:rPr>
          <w:rFonts w:eastAsia="Times New Roman"/>
        </w:rPr>
      </w:pPr>
      <w:r w:rsidRPr="00362637">
        <w:rPr>
          <w:rFonts w:eastAsia="Times New Roman"/>
        </w:rPr>
        <w:t>Atbilstoši Regulas preambulas 26. apsvērumam, uzsākot parādnieka maksātnespējas procesu jebkurā Eiropas Savienības dalībvalstī, piemēro attiecīgās dalībvalsts normatīvo regulējumu. Proti, no minētā izriet, ka Latvijas Republikā pasludinātā maksātnespējas procesā uz kreditoriem, tostarp uz kreditoriem, kuri atrodas citās Eiropas Savienības valstīs, ir attiecināmas Maksātnespējas likumā nostiprinātās tiesības un pienākumi</w:t>
      </w:r>
      <w:r w:rsidR="00364C70" w:rsidRPr="00362637">
        <w:rPr>
          <w:rFonts w:eastAsia="Times New Roman"/>
        </w:rPr>
        <w:t>.</w:t>
      </w:r>
      <w:r w:rsidRPr="00362637">
        <w:rPr>
          <w:rFonts w:eastAsia="Times New Roman"/>
          <w:vertAlign w:val="superscript"/>
        </w:rPr>
        <w:t>.</w:t>
      </w:r>
      <w:r w:rsidRPr="00362637">
        <w:rPr>
          <w:vertAlign w:val="superscript"/>
        </w:rPr>
        <w:footnoteReference w:id="1"/>
      </w:r>
    </w:p>
    <w:p w14:paraId="0EA34C27" w14:textId="3B888F0E" w:rsidR="00030958" w:rsidRPr="00362637" w:rsidRDefault="00030958" w:rsidP="00F13C88">
      <w:pPr>
        <w:spacing w:after="0" w:line="240" w:lineRule="auto"/>
        <w:ind w:firstLine="709"/>
        <w:jc w:val="both"/>
        <w:rPr>
          <w:rFonts w:eastAsia="Times New Roman"/>
        </w:rPr>
      </w:pPr>
      <w:r w:rsidRPr="00362637">
        <w:rPr>
          <w:rFonts w:eastAsia="Times New Roman"/>
        </w:rPr>
        <w:t>Ja pret parādnieku Latvijas Republikā uzsākta Regulas par maksātnespējas procedūrām 3. panta 1. vai 2. punktā noteiktā maksātnespējas procedūra, administrators piecu dienu laikā pēc parādnieka maksātnespējas pasludināšanas nosūta kreditoriem, kuru dzīvesvieta vai juridiskā adrese ir citā dalībvalstī, paziņojumu par parādnieka maksātnespēju un kreditoru prasījumu iesniegšanu.</w:t>
      </w:r>
      <w:r w:rsidRPr="00362637">
        <w:rPr>
          <w:rFonts w:eastAsia="Times New Roman"/>
          <w:vertAlign w:val="superscript"/>
        </w:rPr>
        <w:footnoteReference w:id="2"/>
      </w:r>
      <w:r w:rsidRPr="00362637">
        <w:rPr>
          <w:rFonts w:eastAsia="Times New Roman"/>
        </w:rPr>
        <w:t xml:space="preserve"> Minētais pienākums ir izpildāms, ja administratora rīcībā ir informācija par ārvalstu kreditoru esamību</w:t>
      </w:r>
      <w:r w:rsidR="00587972" w:rsidRPr="00362637">
        <w:rPr>
          <w:rFonts w:eastAsia="Times New Roman"/>
        </w:rPr>
        <w:t>, kā tas ir šajā konkrētajā gadījumā.</w:t>
      </w:r>
    </w:p>
    <w:p w14:paraId="29AD313C" w14:textId="77777777" w:rsidR="00030958" w:rsidRPr="00362637" w:rsidRDefault="00030958" w:rsidP="00F13C88">
      <w:pPr>
        <w:spacing w:after="0" w:line="240" w:lineRule="auto"/>
        <w:ind w:firstLine="709"/>
        <w:jc w:val="both"/>
        <w:rPr>
          <w:rFonts w:eastAsia="Times New Roman"/>
        </w:rPr>
      </w:pPr>
      <w:r w:rsidRPr="00362637">
        <w:rPr>
          <w:rFonts w:eastAsia="Times New Roman"/>
        </w:rPr>
        <w:t>Ikvienam kreditoram ir jābūt tiesībām piedalīties pārrobežu maksātnespējas procesā saskaņā ar pušu vienlīdzības principu.</w:t>
      </w:r>
      <w:r w:rsidRPr="00362637">
        <w:rPr>
          <w:rFonts w:eastAsia="Times New Roman"/>
          <w:vertAlign w:val="superscript"/>
        </w:rPr>
        <w:footnoteReference w:id="3"/>
      </w:r>
      <w:r w:rsidRPr="00362637">
        <w:rPr>
          <w:rFonts w:eastAsia="Times New Roman"/>
        </w:rPr>
        <w:t xml:space="preserve"> Maksātnespējas procedūras uzsākšana un izbeigšanas sekas nevar ietekmēt kreditoru, kurš nav ticis informēts par maksātnespējas procedūru un kreditora prasījuma pieteikšanu.</w:t>
      </w:r>
      <w:r w:rsidRPr="00362637">
        <w:rPr>
          <w:rFonts w:eastAsia="Times New Roman"/>
          <w:vertAlign w:val="superscript"/>
        </w:rPr>
        <w:footnoteReference w:id="4"/>
      </w:r>
      <w:r w:rsidRPr="00362637">
        <w:rPr>
          <w:rFonts w:eastAsia="Times New Roman"/>
        </w:rPr>
        <w:t xml:space="preserve"> Līdz ar to, ja kreditors nav pienācīgi informēts par maksātnespējas procedūru un kreditora prasījuma iesniegšanu, tad uz šādu kreditoru noilgumu attiecināt nevar. Minētais vēl jo vairāk norāda uz nepieciešamību pievērst īpašu uzmanību iespējamo ārvalstu kreditoru esamībai, pat, ja tiesas spriedumā par maksātnespējas procesa pasludināšanu nav norādes par Regulas par maksātnespējas procedūrām 3. panta 1., 2. punktā noteiktās maksātnespējas procedūras uzsākšanu.</w:t>
      </w:r>
    </w:p>
    <w:p w14:paraId="7446A60F" w14:textId="40361AC7" w:rsidR="00030958" w:rsidRPr="00362637" w:rsidRDefault="00D12F05" w:rsidP="00F13C88">
      <w:pPr>
        <w:spacing w:after="0" w:line="240" w:lineRule="auto"/>
        <w:ind w:firstLine="709"/>
        <w:jc w:val="both"/>
        <w:rPr>
          <w:rFonts w:eastAsia="Times New Roman"/>
        </w:rPr>
      </w:pPr>
      <w:r w:rsidRPr="00362637">
        <w:rPr>
          <w:rFonts w:eastAsia="Times New Roman"/>
        </w:rPr>
        <w:t>A</w:t>
      </w:r>
      <w:r w:rsidR="00030958" w:rsidRPr="00362637">
        <w:rPr>
          <w:rFonts w:eastAsia="Times New Roman"/>
        </w:rPr>
        <w:t>dministrator</w:t>
      </w:r>
      <w:r w:rsidRPr="00362637">
        <w:rPr>
          <w:rFonts w:eastAsia="Times New Roman"/>
        </w:rPr>
        <w:t>es</w:t>
      </w:r>
      <w:r w:rsidR="00030958" w:rsidRPr="00362637">
        <w:rPr>
          <w:rFonts w:eastAsia="Times New Roman"/>
        </w:rPr>
        <w:t xml:space="preserve"> ieskatā, </w:t>
      </w:r>
      <w:r w:rsidRPr="00362637">
        <w:rPr>
          <w:rFonts w:eastAsia="Times New Roman"/>
        </w:rPr>
        <w:t>P</w:t>
      </w:r>
      <w:r w:rsidR="00030958" w:rsidRPr="00362637">
        <w:rPr>
          <w:rFonts w:eastAsia="Times New Roman"/>
        </w:rPr>
        <w:t xml:space="preserve">arādnieka maksātnespējas procesā nav konstatējams pamats rakstveida paziņojumu sūtīšanai citās Eiropas Savienības valstīs esošajiem </w:t>
      </w:r>
      <w:r w:rsidR="00FC1BF4" w:rsidRPr="00362637">
        <w:rPr>
          <w:rFonts w:eastAsia="Times New Roman"/>
        </w:rPr>
        <w:t xml:space="preserve">Parādnieka </w:t>
      </w:r>
      <w:r w:rsidR="00030958" w:rsidRPr="00362637">
        <w:rPr>
          <w:rFonts w:eastAsia="Times New Roman"/>
        </w:rPr>
        <w:t xml:space="preserve">kreditoriem, ņemot vērā, ka </w:t>
      </w:r>
      <w:r w:rsidR="00354D5E" w:rsidRPr="00362637">
        <w:rPr>
          <w:rFonts w:eastAsia="Times New Roman"/>
        </w:rPr>
        <w:t>Spriedumā</w:t>
      </w:r>
      <w:r w:rsidR="00030958" w:rsidRPr="00362637">
        <w:rPr>
          <w:rFonts w:eastAsia="Times New Roman"/>
        </w:rPr>
        <w:t xml:space="preserve"> bija iekļauta norāde, ka </w:t>
      </w:r>
      <w:r w:rsidR="00354D5E" w:rsidRPr="00362637">
        <w:rPr>
          <w:rFonts w:eastAsia="Times New Roman"/>
        </w:rPr>
        <w:t xml:space="preserve">Parādnieka </w:t>
      </w:r>
      <w:r w:rsidR="00030958" w:rsidRPr="00362637">
        <w:rPr>
          <w:rFonts w:eastAsia="Times New Roman"/>
        </w:rPr>
        <w:t>maksātnespējas procesā nav uzsākama Regulas 3. panta 1. un 2. punktā noteiktā maksātnespējas procedūra. Arī maksātnespējas reģistrā ir norādīts, ka uzsāktā procesa raksturs ir "nacionālais".</w:t>
      </w:r>
    </w:p>
    <w:p w14:paraId="74B8F951" w14:textId="76AE0D7F" w:rsidR="009D5B87" w:rsidRPr="00362637" w:rsidRDefault="008853ED" w:rsidP="009D5B87">
      <w:pPr>
        <w:spacing w:after="0" w:line="240" w:lineRule="auto"/>
        <w:ind w:firstLine="709"/>
        <w:jc w:val="both"/>
      </w:pPr>
      <w:r w:rsidRPr="00362637">
        <w:rPr>
          <w:rFonts w:eastAsia="Times New Roman"/>
        </w:rPr>
        <w:t>Attiecībā par minēto jāvērš uzmanība, ka</w:t>
      </w:r>
      <w:r w:rsidR="001F37B9" w:rsidRPr="00362637">
        <w:rPr>
          <w:rFonts w:eastAsia="Times New Roman"/>
        </w:rPr>
        <w:t xml:space="preserve"> pat, ja spriedumā par maksātnespējas procesa pasludināšanu nav ietverta norāde par Regulas piemērošanu,</w:t>
      </w:r>
      <w:r w:rsidR="00030958" w:rsidRPr="00362637">
        <w:rPr>
          <w:rFonts w:eastAsia="Times New Roman"/>
        </w:rPr>
        <w:t xml:space="preserve"> </w:t>
      </w:r>
      <w:r w:rsidR="001F37B9" w:rsidRPr="00362637">
        <w:rPr>
          <w:rFonts w:eastAsia="Times New Roman"/>
        </w:rPr>
        <w:t>administratoram,</w:t>
      </w:r>
      <w:r w:rsidR="00030958" w:rsidRPr="00362637">
        <w:rPr>
          <w:rFonts w:eastAsia="Times New Roman"/>
        </w:rPr>
        <w:t xml:space="preserve"> konstatējot pārrobežu elementu (parādniekam ir kreditori, kas atrodas Eiropas Savienībā), nekavējoties ar </w:t>
      </w:r>
      <w:r w:rsidR="00011CD4" w:rsidRPr="00362637">
        <w:rPr>
          <w:rFonts w:eastAsia="Times New Roman"/>
        </w:rPr>
        <w:t xml:space="preserve">individuālu </w:t>
      </w:r>
      <w:r w:rsidR="00030958" w:rsidRPr="00362637">
        <w:rPr>
          <w:rFonts w:eastAsia="Times New Roman"/>
        </w:rPr>
        <w:t>paziņojumu</w:t>
      </w:r>
      <w:r w:rsidR="00030958" w:rsidRPr="00362637">
        <w:rPr>
          <w:rFonts w:eastAsia="Times New Roman"/>
          <w:vertAlign w:val="superscript"/>
        </w:rPr>
        <w:footnoteReference w:id="5"/>
      </w:r>
      <w:r w:rsidR="00030958" w:rsidRPr="00362637">
        <w:rPr>
          <w:rFonts w:eastAsia="Times New Roman"/>
        </w:rPr>
        <w:t xml:space="preserve"> tie ir jāinformē par parādnieka maksātnespējas procesa pasludināšanu</w:t>
      </w:r>
      <w:r w:rsidR="00D12F05" w:rsidRPr="00362637">
        <w:rPr>
          <w:rFonts w:eastAsia="Times New Roman"/>
        </w:rPr>
        <w:t>, t</w:t>
      </w:r>
      <w:r w:rsidR="00030958" w:rsidRPr="00362637">
        <w:rPr>
          <w:rFonts w:eastAsia="Times New Roman"/>
        </w:rPr>
        <w:t>ādējādi nodrošinot iespēju ārvalstu kreditoriem izlietot savas tiesības iesniegt kreditora prasījumu Maksātnespējas likuma 73. panta pirmajā daļā noteiktajā termiņā.</w:t>
      </w:r>
      <w:r w:rsidR="00DC6207" w:rsidRPr="00362637">
        <w:rPr>
          <w:rStyle w:val="Vresatsauce"/>
          <w:rFonts w:eastAsia="Times New Roman"/>
        </w:rPr>
        <w:footnoteReference w:id="6"/>
      </w:r>
      <w:r w:rsidR="009D5B87" w:rsidRPr="00362637">
        <w:t xml:space="preserve"> </w:t>
      </w:r>
      <w:r w:rsidR="00A92F1C" w:rsidRPr="00362637">
        <w:t>Ci</w:t>
      </w:r>
      <w:r w:rsidR="009D5B87" w:rsidRPr="00362637">
        <w:t xml:space="preserve">vilprocesa </w:t>
      </w:r>
      <w:r w:rsidR="009D5B87" w:rsidRPr="00362637">
        <w:lastRenderedPageBreak/>
        <w:t>likuma 363.</w:t>
      </w:r>
      <w:r w:rsidR="009D5B87" w:rsidRPr="00362637">
        <w:rPr>
          <w:vertAlign w:val="superscript"/>
        </w:rPr>
        <w:t>3</w:t>
      </w:r>
      <w:r w:rsidR="009D5B87" w:rsidRPr="00362637">
        <w:t xml:space="preserve"> panta otrās daļas 3. un 4. punktā noteikts parādnieka pienākums maksātnespējas procesa pieteikumā norādīt attiecīgu informāciju par iespējamiem pārrobežas maksātnespējas procesa elementiem. Gadījumā, ja maksātnespējas procesā šāda informācija nav norādīta, tas nenozīmē, ka pārrobežu maksātnespējas procesa elementi nepastāv.</w:t>
      </w:r>
      <w:r w:rsidR="00A92F1C" w:rsidRPr="00362637">
        <w:t xml:space="preserve"> Iepriekš minēto secinājumu līdzīgā lietā ir apstiprinājusi arī tiesa</w:t>
      </w:r>
      <w:r w:rsidR="00A34C07" w:rsidRPr="00362637">
        <w:t>.</w:t>
      </w:r>
      <w:r w:rsidR="005B6EF7" w:rsidRPr="00362637">
        <w:rPr>
          <w:rStyle w:val="Vresatsauce"/>
        </w:rPr>
        <w:footnoteReference w:id="7"/>
      </w:r>
      <w:r w:rsidR="00A92F1C" w:rsidRPr="00362637">
        <w:t xml:space="preserve"> </w:t>
      </w:r>
    </w:p>
    <w:p w14:paraId="13B6FAE1" w14:textId="249BA631" w:rsidR="00DE2C0F" w:rsidRPr="00362637" w:rsidRDefault="00D12AF3" w:rsidP="00DE2C0F">
      <w:pPr>
        <w:spacing w:after="0" w:line="240" w:lineRule="auto"/>
        <w:ind w:firstLine="709"/>
        <w:jc w:val="both"/>
      </w:pPr>
      <w:r w:rsidRPr="00362637">
        <w:t xml:space="preserve">Administratore </w:t>
      </w:r>
      <w:r w:rsidR="004D0FB4" w:rsidRPr="00362637">
        <w:t xml:space="preserve">Paskaidrojumos </w:t>
      </w:r>
      <w:r w:rsidRPr="00362637">
        <w:t>norāda, ka P</w:t>
      </w:r>
      <w:r w:rsidR="005E1522" w:rsidRPr="00362637">
        <w:t xml:space="preserve">arādniekam pašam </w:t>
      </w:r>
      <w:r w:rsidRPr="00362637">
        <w:t xml:space="preserve">nebija nekādu šķēršļu sazināties ar pašu kreditoru vai tā pilnvaroto personu </w:t>
      </w:r>
      <w:r w:rsidR="00883CF5" w:rsidRPr="00362637">
        <w:t>/</w:t>
      </w:r>
      <w:r w:rsidRPr="00362637">
        <w:t xml:space="preserve">SIA </w:t>
      </w:r>
      <w:r w:rsidR="0097434A" w:rsidRPr="00362637">
        <w:t>"</w:t>
      </w:r>
      <w:r w:rsidR="00883CF5" w:rsidRPr="00362637">
        <w:t>Nosaukums B</w:t>
      </w:r>
      <w:r w:rsidR="0097434A" w:rsidRPr="00362637">
        <w:t>"</w:t>
      </w:r>
      <w:r w:rsidR="00883CF5" w:rsidRPr="00362637">
        <w:t>/</w:t>
      </w:r>
      <w:r w:rsidR="005E1522" w:rsidRPr="00362637">
        <w:t>.</w:t>
      </w:r>
      <w:r w:rsidR="00DE2C0F" w:rsidRPr="00362637">
        <w:t xml:space="preserve"> </w:t>
      </w:r>
      <w:r w:rsidR="00F22DDD" w:rsidRPr="00362637">
        <w:t>Attiecībā par minēto p</w:t>
      </w:r>
      <w:r w:rsidR="00DE2C0F" w:rsidRPr="00362637">
        <w:t>irmkārt, jāuzsver, ka paziņojumu izsūtīšana kreditoriem ir administratora tiešs pienākums, kas izriet gan no Maksātnespējas likuma, gan no Regulas. Normatīvais regulējums neparedz, ka šis pienākums būtu pārliekams uz parādnieku. Administrators maksātnespējas procesā darbojas uz tiesas pilnvarojuma pamata, un viņam uzticēts nodrošināt procesa likumīgu un efektīvu norisi.</w:t>
      </w:r>
    </w:p>
    <w:p w14:paraId="6DC33EB6" w14:textId="77CF1983" w:rsidR="00DE2C0F" w:rsidRPr="00362637" w:rsidRDefault="00DE2C0F" w:rsidP="00DE2C0F">
      <w:pPr>
        <w:spacing w:after="0" w:line="240" w:lineRule="auto"/>
        <w:ind w:firstLine="709"/>
        <w:jc w:val="both"/>
      </w:pPr>
      <w:r w:rsidRPr="00362637">
        <w:t xml:space="preserve">Otrkārt, maksātnespējas procesa dalībnieki – gan </w:t>
      </w:r>
      <w:r w:rsidR="00D869A9" w:rsidRPr="00362637">
        <w:t>P</w:t>
      </w:r>
      <w:r w:rsidRPr="00362637">
        <w:t>arādnieks, gan kreditori – ir tiesīgi paļauties, ka administrators savus pienākumus izpildīs patstāvīgi, profesionāli un ar pienācīgu rūpību. Ja administratora pienākumi tiek pārlikti uz citām proces</w:t>
      </w:r>
      <w:r w:rsidR="00681F37" w:rsidRPr="00362637">
        <w:t>ā iesaistītajām</w:t>
      </w:r>
      <w:r w:rsidRPr="00362637">
        <w:t xml:space="preserve"> personām, tiek grauts paļāvības princips un mazināta </w:t>
      </w:r>
      <w:r w:rsidR="003C3DDF" w:rsidRPr="00362637">
        <w:t>u</w:t>
      </w:r>
      <w:r w:rsidR="00891E96" w:rsidRPr="00362637">
        <w:t>zticamība administratora kā valsts</w:t>
      </w:r>
      <w:r w:rsidR="00326757" w:rsidRPr="00362637">
        <w:t xml:space="preserve"> deleģēto funkciju </w:t>
      </w:r>
      <w:r w:rsidR="003C3DDF" w:rsidRPr="00362637">
        <w:t xml:space="preserve">veicēja amatam. </w:t>
      </w:r>
      <w:r w:rsidRPr="00362637">
        <w:t>Parādniekam objektīvi nevar būt pienākums pārņemt administratora funkcijas – īpaši tādas, kas tieši saistītas ar kreditoru vienlīdzības principa ievērošanu un tiesību nodrošināšanu piedalīties procesā.</w:t>
      </w:r>
    </w:p>
    <w:p w14:paraId="07A5D56A" w14:textId="3B39C034" w:rsidR="00735F94" w:rsidRPr="00362637" w:rsidRDefault="00D34C9B" w:rsidP="00F13C88">
      <w:pPr>
        <w:spacing w:after="0" w:line="240" w:lineRule="auto"/>
        <w:ind w:firstLine="709"/>
        <w:jc w:val="both"/>
        <w:rPr>
          <w:rFonts w:eastAsia="Times New Roman"/>
        </w:rPr>
      </w:pPr>
      <w:r w:rsidRPr="00362637">
        <w:t xml:space="preserve">Nenosūtot </w:t>
      </w:r>
      <w:r w:rsidR="004D53C9" w:rsidRPr="00362637">
        <w:t>Ārvalst</w:t>
      </w:r>
      <w:r w:rsidR="002F22EF" w:rsidRPr="00362637">
        <w:t>s</w:t>
      </w:r>
      <w:r w:rsidR="004D53C9" w:rsidRPr="00362637">
        <w:t xml:space="preserve"> kreditoram paziņojumu</w:t>
      </w:r>
      <w:r w:rsidRPr="00362637">
        <w:t xml:space="preserve"> par </w:t>
      </w:r>
      <w:r w:rsidR="008C0434" w:rsidRPr="00362637">
        <w:t>P</w:t>
      </w:r>
      <w:r w:rsidRPr="00362637">
        <w:t>arādnieka maksātnespējas procesu un kreditoru prasījumu iesniegšanu, Administratore nav ievērojusi Maksātnespējas likuma 26.</w:t>
      </w:r>
      <w:r w:rsidR="00B02BD9" w:rsidRPr="00362637">
        <w:t> </w:t>
      </w:r>
      <w:r w:rsidRPr="00362637">
        <w:t>panta otrās daļas noteikumus kopsakarā ar Maksātnespējas likuma 6.</w:t>
      </w:r>
      <w:r w:rsidR="0065255D" w:rsidRPr="00362637">
        <w:t> </w:t>
      </w:r>
      <w:r w:rsidRPr="00362637">
        <w:t>panta 2.</w:t>
      </w:r>
      <w:r w:rsidR="0065255D" w:rsidRPr="00362637">
        <w:t> </w:t>
      </w:r>
      <w:r w:rsidRPr="00362637">
        <w:t xml:space="preserve">punktā nostiprināto kreditoru vienlīdzības principu un </w:t>
      </w:r>
      <w:r w:rsidR="003A0AF7" w:rsidRPr="00362637">
        <w:t>Regulas</w:t>
      </w:r>
      <w:r w:rsidRPr="00362637">
        <w:t xml:space="preserve"> 54. panta 1. punkta prasīb</w:t>
      </w:r>
      <w:r w:rsidR="003E64A7" w:rsidRPr="00362637">
        <w:t>ām</w:t>
      </w:r>
      <w:r w:rsidRPr="00362637">
        <w:t>.</w:t>
      </w:r>
    </w:p>
    <w:p w14:paraId="1554DE81" w14:textId="4FA853A0" w:rsidR="00343C64" w:rsidRPr="00362637" w:rsidRDefault="00D36DDD" w:rsidP="00D36DDD">
      <w:pPr>
        <w:spacing w:after="0" w:line="240" w:lineRule="auto"/>
        <w:ind w:firstLine="780"/>
        <w:jc w:val="both"/>
      </w:pPr>
      <w:r w:rsidRPr="00362637">
        <w:rPr>
          <w:rFonts w:eastAsia="Times New Roman"/>
        </w:rPr>
        <w:t xml:space="preserve">Līdz ar to Administratorei ir pienākums </w:t>
      </w:r>
      <w:r w:rsidR="00343C64" w:rsidRPr="00362637">
        <w:rPr>
          <w:rFonts w:eastAsia="Times New Roman"/>
        </w:rPr>
        <w:t xml:space="preserve">informēt par </w:t>
      </w:r>
      <w:r w:rsidR="005E7AD3" w:rsidRPr="00362637">
        <w:rPr>
          <w:rFonts w:eastAsia="Times New Roman"/>
        </w:rPr>
        <w:t xml:space="preserve">Parādnieka </w:t>
      </w:r>
      <w:r w:rsidR="00343C64" w:rsidRPr="00362637">
        <w:rPr>
          <w:rFonts w:eastAsia="Times New Roman"/>
        </w:rPr>
        <w:t>maksātnespējas procesa pasludināšanu</w:t>
      </w:r>
      <w:r w:rsidR="00A67F69" w:rsidRPr="00362637">
        <w:rPr>
          <w:rFonts w:eastAsia="Times New Roman"/>
        </w:rPr>
        <w:t xml:space="preserve"> arī </w:t>
      </w:r>
      <w:r w:rsidR="00977EAD" w:rsidRPr="00362637">
        <w:rPr>
          <w:rFonts w:eastAsia="Times New Roman"/>
        </w:rPr>
        <w:t>Ārvalsts kreditoru.</w:t>
      </w:r>
      <w:r w:rsidR="00343C64" w:rsidRPr="00362637">
        <w:t xml:space="preserve"> </w:t>
      </w:r>
    </w:p>
    <w:p w14:paraId="1C0C25FB" w14:textId="5468B60D" w:rsidR="00D36DDD" w:rsidRPr="00362637" w:rsidRDefault="00D36DDD" w:rsidP="00D36DDD">
      <w:pPr>
        <w:spacing w:after="0" w:line="240" w:lineRule="auto"/>
        <w:ind w:firstLine="735"/>
        <w:jc w:val="both"/>
        <w:rPr>
          <w:rFonts w:eastAsia="Times New Roman"/>
          <w:bCs/>
        </w:rPr>
      </w:pPr>
      <w:r w:rsidRPr="00362637">
        <w:rPr>
          <w:rFonts w:eastAsia="Times New Roman"/>
        </w:rPr>
        <w:t xml:space="preserve">[6] Izvērtējot </w:t>
      </w:r>
      <w:r w:rsidRPr="00362637">
        <w:rPr>
          <w:rFonts w:eastAsia="Times New Roman"/>
          <w:bCs/>
        </w:rPr>
        <w:t>minēto un pamatojoties uz norādītajām tiesību normām, kā arī Maksātnespējas likuma</w:t>
      </w:r>
      <w:r w:rsidRPr="00362637">
        <w:t xml:space="preserve"> </w:t>
      </w:r>
      <w:r w:rsidRPr="00362637">
        <w:rPr>
          <w:rFonts w:eastAsia="Times New Roman"/>
          <w:bCs/>
        </w:rPr>
        <w:t>174.</w:t>
      </w:r>
      <w:r w:rsidRPr="00362637">
        <w:rPr>
          <w:rFonts w:eastAsia="Times New Roman"/>
          <w:bCs/>
          <w:vertAlign w:val="superscript"/>
        </w:rPr>
        <w:t>1</w:t>
      </w:r>
      <w:r w:rsidRPr="00362637">
        <w:rPr>
          <w:rFonts w:eastAsia="Times New Roman"/>
          <w:bCs/>
        </w:rPr>
        <w:t> panta 2. punktu, 175. panta pirmās daļas 2. punktu, 176. panta pirmo un otro daļu</w:t>
      </w:r>
      <w:r w:rsidR="00B019F2" w:rsidRPr="00362637">
        <w:rPr>
          <w:rFonts w:eastAsia="Times New Roman"/>
          <w:bCs/>
        </w:rPr>
        <w:t>,</w:t>
      </w:r>
    </w:p>
    <w:p w14:paraId="1919BFA4" w14:textId="77777777" w:rsidR="00D36DDD" w:rsidRPr="00362637" w:rsidRDefault="00D36DDD" w:rsidP="00D36DDD">
      <w:pPr>
        <w:spacing w:after="0" w:line="240" w:lineRule="auto"/>
        <w:ind w:firstLine="735"/>
        <w:jc w:val="both"/>
        <w:rPr>
          <w:rFonts w:eastAsia="Times New Roman"/>
          <w:bCs/>
        </w:rPr>
      </w:pPr>
    </w:p>
    <w:p w14:paraId="0BD9A590" w14:textId="77777777" w:rsidR="00D36DDD" w:rsidRPr="00362637" w:rsidRDefault="00D36DDD" w:rsidP="00D36DDD">
      <w:pPr>
        <w:autoSpaceDE w:val="0"/>
        <w:autoSpaceDN w:val="0"/>
        <w:adjustRightInd w:val="0"/>
        <w:spacing w:after="0" w:line="240" w:lineRule="auto"/>
        <w:ind w:firstLine="709"/>
        <w:jc w:val="center"/>
        <w:rPr>
          <w:rFonts w:eastAsia="Times New Roman"/>
          <w:b/>
          <w:bCs/>
        </w:rPr>
      </w:pPr>
      <w:r w:rsidRPr="00362637">
        <w:rPr>
          <w:rFonts w:eastAsia="Times New Roman"/>
          <w:b/>
          <w:bCs/>
        </w:rPr>
        <w:t>nolēmu:</w:t>
      </w:r>
    </w:p>
    <w:p w14:paraId="529303B9" w14:textId="77777777" w:rsidR="007733C2" w:rsidRPr="00362637" w:rsidRDefault="007733C2" w:rsidP="00D36DDD">
      <w:pPr>
        <w:autoSpaceDE w:val="0"/>
        <w:autoSpaceDN w:val="0"/>
        <w:adjustRightInd w:val="0"/>
        <w:spacing w:after="0" w:line="240" w:lineRule="auto"/>
        <w:ind w:firstLine="709"/>
        <w:jc w:val="center"/>
        <w:rPr>
          <w:rFonts w:eastAsia="Times New Roman"/>
          <w:b/>
          <w:bCs/>
        </w:rPr>
      </w:pPr>
    </w:p>
    <w:p w14:paraId="37B13485" w14:textId="77777777" w:rsidR="00D36DDD" w:rsidRPr="00362637" w:rsidRDefault="00D36DDD" w:rsidP="00D36DDD">
      <w:pPr>
        <w:autoSpaceDE w:val="0"/>
        <w:autoSpaceDN w:val="0"/>
        <w:adjustRightInd w:val="0"/>
        <w:spacing w:after="0" w:line="240" w:lineRule="auto"/>
        <w:ind w:firstLine="709"/>
        <w:jc w:val="center"/>
        <w:rPr>
          <w:rFonts w:eastAsia="Times New Roman"/>
          <w:b/>
          <w:bCs/>
        </w:rPr>
      </w:pPr>
    </w:p>
    <w:p w14:paraId="6B814BFC" w14:textId="153476CC" w:rsidR="00D36DDD" w:rsidRPr="00362637" w:rsidRDefault="00D36DDD" w:rsidP="00936552">
      <w:pPr>
        <w:spacing w:after="0" w:line="240" w:lineRule="auto"/>
        <w:ind w:firstLine="709"/>
        <w:jc w:val="both"/>
        <w:rPr>
          <w:rFonts w:eastAsiaTheme="minorHAnsi"/>
          <w:color w:val="000000"/>
          <w:lang w:eastAsia="en-US"/>
          <w14:ligatures w14:val="standardContextual"/>
        </w:rPr>
      </w:pPr>
      <w:r w:rsidRPr="00362637">
        <w:rPr>
          <w:rFonts w:eastAsiaTheme="minorHAnsi"/>
          <w:color w:val="000000"/>
          <w:lang w:eastAsia="en-US"/>
          <w14:ligatures w14:val="standardContextual"/>
        </w:rPr>
        <w:t>1. </w:t>
      </w:r>
      <w:r w:rsidRPr="00362637">
        <w:rPr>
          <w:rFonts w:eastAsiaTheme="minorHAnsi"/>
          <w:b/>
          <w:bCs/>
          <w:color w:val="000000"/>
          <w:lang w:eastAsia="en-US"/>
          <w14:ligatures w14:val="standardContextual"/>
        </w:rPr>
        <w:t>Atzīt,</w:t>
      </w:r>
      <w:r w:rsidRPr="00362637">
        <w:rPr>
          <w:rFonts w:eastAsiaTheme="minorHAnsi"/>
          <w:color w:val="000000"/>
          <w:lang w:eastAsia="en-US"/>
          <w14:ligatures w14:val="standardContextual"/>
        </w:rPr>
        <w:t xml:space="preserve"> ka maksātnespējas procesa administratore </w:t>
      </w:r>
      <w:r w:rsidR="00883CF5" w:rsidRPr="00362637">
        <w:rPr>
          <w:rFonts w:eastAsiaTheme="minorHAnsi"/>
          <w:color w:val="000000"/>
          <w:lang w:eastAsia="en-US"/>
          <w14:ligatures w14:val="standardContextual"/>
        </w:rPr>
        <w:t>/Administrators/</w:t>
      </w:r>
      <w:r w:rsidRPr="00362637">
        <w:rPr>
          <w:rFonts w:eastAsiaTheme="minorHAnsi"/>
          <w:color w:val="000000"/>
          <w:lang w:eastAsia="en-US"/>
          <w14:ligatures w14:val="standardContextual"/>
        </w:rPr>
        <w:t xml:space="preserve">, </w:t>
      </w:r>
      <w:r w:rsidR="00883CF5" w:rsidRPr="00362637">
        <w:rPr>
          <w:rFonts w:eastAsiaTheme="minorHAnsi"/>
          <w:color w:val="000000"/>
          <w:lang w:eastAsia="en-US"/>
          <w14:ligatures w14:val="standardContextual"/>
        </w:rPr>
        <w:t>/</w:t>
      </w:r>
      <w:r w:rsidRPr="00362637">
        <w:rPr>
          <w:rFonts w:eastAsiaTheme="minorHAnsi"/>
          <w:color w:val="000000"/>
          <w:lang w:eastAsia="en-US"/>
          <w14:ligatures w14:val="standardContextual"/>
        </w:rPr>
        <w:t xml:space="preserve">amata apliecības </w:t>
      </w:r>
      <w:r w:rsidR="00883CF5" w:rsidRPr="00362637">
        <w:rPr>
          <w:rFonts w:eastAsiaTheme="minorHAnsi"/>
          <w:color w:val="000000"/>
          <w:lang w:eastAsia="en-US"/>
          <w14:ligatures w14:val="standardContextual"/>
        </w:rPr>
        <w:t>numurs/</w:t>
      </w:r>
      <w:r w:rsidRPr="00362637">
        <w:rPr>
          <w:rFonts w:eastAsiaTheme="minorHAnsi"/>
          <w:color w:val="000000"/>
          <w:lang w:eastAsia="en-US"/>
          <w14:ligatures w14:val="standardContextual"/>
        </w:rPr>
        <w:t xml:space="preserve">, </w:t>
      </w:r>
      <w:r w:rsidR="00883CF5" w:rsidRPr="00362637">
        <w:rPr>
          <w:rFonts w:eastAsiaTheme="minorHAnsi"/>
          <w:color w:val="000000"/>
          <w:lang w:eastAsia="en-US"/>
          <w14:ligatures w14:val="standardContextual"/>
        </w:rPr>
        <w:t>/pers. A/</w:t>
      </w:r>
      <w:r w:rsidRPr="00362637">
        <w:rPr>
          <w:rFonts w:eastAsiaTheme="minorHAnsi"/>
          <w:color w:val="000000"/>
          <w:lang w:eastAsia="en-US"/>
          <w14:ligatures w14:val="standardContextual"/>
        </w:rPr>
        <w:t xml:space="preserve"> </w:t>
      </w:r>
      <w:r w:rsidR="00B9690E" w:rsidRPr="00362637">
        <w:rPr>
          <w:rFonts w:eastAsiaTheme="minorHAnsi"/>
          <w:color w:val="000000"/>
          <w:lang w:eastAsia="en-US"/>
          <w14:ligatures w14:val="standardContextual"/>
        </w:rPr>
        <w:t>fiziskās</w:t>
      </w:r>
      <w:r w:rsidRPr="00362637">
        <w:rPr>
          <w:rFonts w:eastAsiaTheme="minorHAnsi"/>
          <w:color w:val="000000"/>
          <w:lang w:eastAsia="en-US"/>
          <w14:ligatures w14:val="standardContextual"/>
        </w:rPr>
        <w:t xml:space="preserve"> personas maksātnespējas procesā</w:t>
      </w:r>
      <w:r w:rsidR="00852289" w:rsidRPr="00362637">
        <w:rPr>
          <w:rFonts w:eastAsiaTheme="minorHAnsi"/>
          <w:color w:val="000000"/>
          <w:lang w:eastAsia="en-US"/>
          <w14:ligatures w14:val="standardContextual"/>
        </w:rPr>
        <w:t xml:space="preserve">, nenosūtot </w:t>
      </w:r>
      <w:r w:rsidR="00883CF5" w:rsidRPr="00362637">
        <w:rPr>
          <w:iCs/>
          <w:lang w:eastAsia="en-US"/>
        </w:rPr>
        <w:t>/Nosaukums A/</w:t>
      </w:r>
      <w:r w:rsidR="00551919" w:rsidRPr="00362637">
        <w:rPr>
          <w:rFonts w:eastAsiaTheme="minorHAnsi"/>
          <w:color w:val="000000"/>
          <w:lang w:eastAsia="en-US"/>
          <w14:ligatures w14:val="standardContextual"/>
        </w:rPr>
        <w:t xml:space="preserve"> </w:t>
      </w:r>
      <w:r w:rsidR="00852289" w:rsidRPr="00362637">
        <w:rPr>
          <w:rFonts w:eastAsiaTheme="minorHAnsi"/>
          <w:color w:val="000000"/>
          <w:lang w:eastAsia="en-US"/>
          <w14:ligatures w14:val="standardContextual"/>
        </w:rPr>
        <w:t>paziņojumu par Parādnieka maksātnespējas procesu un kreditoru prasījumu iesniegšanu</w:t>
      </w:r>
      <w:r w:rsidR="00B57FAA" w:rsidRPr="00362637">
        <w:rPr>
          <w:rFonts w:eastAsiaTheme="minorHAnsi"/>
          <w:color w:val="000000"/>
          <w:lang w:eastAsia="en-US"/>
          <w14:ligatures w14:val="standardContextual"/>
        </w:rPr>
        <w:t>,</w:t>
      </w:r>
      <w:r w:rsidR="00E039E5" w:rsidRPr="00362637">
        <w:rPr>
          <w:rFonts w:eastAsiaTheme="minorHAnsi"/>
          <w:color w:val="000000"/>
          <w:lang w:eastAsia="en-US"/>
          <w14:ligatures w14:val="standardContextual"/>
        </w:rPr>
        <w:t xml:space="preserve"> </w:t>
      </w:r>
      <w:r w:rsidRPr="00362637">
        <w:rPr>
          <w:rFonts w:eastAsiaTheme="minorHAnsi"/>
          <w:color w:val="000000"/>
          <w:lang w:eastAsia="en-US"/>
          <w14:ligatures w14:val="standardContextual"/>
        </w:rPr>
        <w:t xml:space="preserve">nav nodrošinājusi maksātnespējas procesa likumīgu un efektīvu gaitu saskaņā ar Maksātnespējas likuma </w:t>
      </w:r>
      <w:r w:rsidR="000A2366" w:rsidRPr="00362637">
        <w:rPr>
          <w:rFonts w:eastAsiaTheme="minorHAnsi"/>
          <w:color w:val="000000"/>
          <w:lang w:eastAsia="en-US"/>
          <w14:ligatures w14:val="standardContextual"/>
        </w:rPr>
        <w:t>26</w:t>
      </w:r>
      <w:r w:rsidRPr="00362637">
        <w:rPr>
          <w:rFonts w:eastAsiaTheme="minorHAnsi"/>
          <w:color w:val="000000"/>
          <w:lang w:eastAsia="en-US"/>
          <w14:ligatures w14:val="standardContextual"/>
        </w:rPr>
        <w:t xml:space="preserve">. panta </w:t>
      </w:r>
      <w:r w:rsidR="007933DC" w:rsidRPr="00362637">
        <w:rPr>
          <w:rFonts w:eastAsiaTheme="minorHAnsi"/>
          <w:color w:val="000000"/>
          <w:lang w:eastAsia="en-US"/>
          <w14:ligatures w14:val="standardContextual"/>
        </w:rPr>
        <w:t>otro</w:t>
      </w:r>
      <w:r w:rsidRPr="00362637">
        <w:rPr>
          <w:rFonts w:eastAsiaTheme="minorHAnsi"/>
          <w:color w:val="000000"/>
          <w:lang w:eastAsia="en-US"/>
          <w14:ligatures w14:val="standardContextual"/>
        </w:rPr>
        <w:t xml:space="preserve"> daļu</w:t>
      </w:r>
      <w:r w:rsidR="007933DC" w:rsidRPr="00362637">
        <w:rPr>
          <w:rFonts w:eastAsiaTheme="minorHAnsi"/>
          <w:color w:val="000000"/>
          <w:lang w:eastAsia="en-US"/>
          <w14:ligatures w14:val="standardContextual"/>
        </w:rPr>
        <w:t xml:space="preserve"> </w:t>
      </w:r>
      <w:r w:rsidR="007933DC" w:rsidRPr="00362637">
        <w:t>kopsakarā ar Maksātnespējas likuma 6.</w:t>
      </w:r>
      <w:r w:rsidR="0066485A" w:rsidRPr="00362637">
        <w:t> </w:t>
      </w:r>
      <w:r w:rsidR="007933DC" w:rsidRPr="00362637">
        <w:t xml:space="preserve">panta </w:t>
      </w:r>
      <w:r w:rsidR="0066485A" w:rsidRPr="00362637">
        <w:t>2. </w:t>
      </w:r>
      <w:r w:rsidR="007933DC" w:rsidRPr="00362637">
        <w:t>punktā nostiprināto kreditoru vienlīdzības principu un Eiropas Parlamenta un Padomes regulas</w:t>
      </w:r>
      <w:r w:rsidR="001D0160" w:rsidRPr="00362637">
        <w:t xml:space="preserve"> (ES)</w:t>
      </w:r>
      <w:r w:rsidR="007933DC" w:rsidRPr="00362637">
        <w:t xml:space="preserve"> Nr. 2015/848 54. panta 1. punkta prasīb</w:t>
      </w:r>
      <w:r w:rsidR="002A5304" w:rsidRPr="00362637">
        <w:t>ām</w:t>
      </w:r>
      <w:r w:rsidR="007933DC" w:rsidRPr="00362637">
        <w:t>.</w:t>
      </w:r>
    </w:p>
    <w:p w14:paraId="5A4CFD94" w14:textId="47BE21FB" w:rsidR="00D36DDD" w:rsidRPr="00362637" w:rsidRDefault="00D36DDD" w:rsidP="00936552">
      <w:pPr>
        <w:spacing w:after="0" w:line="240" w:lineRule="auto"/>
        <w:ind w:firstLine="709"/>
        <w:jc w:val="both"/>
        <w:rPr>
          <w:rFonts w:eastAsiaTheme="minorHAnsi"/>
          <w:color w:val="000000"/>
          <w:lang w:eastAsia="en-US"/>
          <w14:ligatures w14:val="standardContextual"/>
        </w:rPr>
      </w:pPr>
      <w:r w:rsidRPr="00362637">
        <w:rPr>
          <w:rFonts w:eastAsiaTheme="minorHAnsi"/>
          <w:color w:val="000000"/>
          <w:lang w:eastAsia="en-US"/>
          <w14:ligatures w14:val="standardContextual"/>
        </w:rPr>
        <w:t>2. </w:t>
      </w:r>
      <w:r w:rsidRPr="00362637">
        <w:rPr>
          <w:rFonts w:eastAsiaTheme="minorHAnsi"/>
          <w:b/>
          <w:bCs/>
          <w:color w:val="000000"/>
          <w:lang w:eastAsia="en-US"/>
          <w14:ligatures w14:val="standardContextual"/>
        </w:rPr>
        <w:t>Uzlikt</w:t>
      </w:r>
      <w:r w:rsidRPr="00362637">
        <w:rPr>
          <w:rFonts w:eastAsiaTheme="minorHAnsi"/>
          <w:color w:val="000000"/>
          <w:lang w:eastAsia="en-US"/>
          <w14:ligatures w14:val="standardContextual"/>
        </w:rPr>
        <w:t xml:space="preserve"> maksātnespējas procesa administratorei </w:t>
      </w:r>
      <w:r w:rsidR="000F5EDC" w:rsidRPr="00362637">
        <w:rPr>
          <w:rFonts w:eastAsiaTheme="minorHAnsi"/>
          <w:color w:val="000000"/>
          <w:lang w:eastAsia="en-US"/>
          <w14:ligatures w14:val="standardContextual"/>
        </w:rPr>
        <w:t>/Administrators/</w:t>
      </w:r>
      <w:r w:rsidRPr="00362637">
        <w:rPr>
          <w:rFonts w:eastAsiaTheme="minorHAnsi"/>
          <w:color w:val="000000"/>
          <w:lang w:eastAsia="en-US"/>
          <w14:ligatures w14:val="standardContextual"/>
        </w:rPr>
        <w:t xml:space="preserve">, </w:t>
      </w:r>
      <w:r w:rsidR="000F5EDC" w:rsidRPr="00362637">
        <w:rPr>
          <w:rFonts w:eastAsiaTheme="minorHAnsi"/>
          <w:color w:val="000000"/>
          <w:lang w:eastAsia="en-US"/>
          <w14:ligatures w14:val="standardContextual"/>
        </w:rPr>
        <w:t>/</w:t>
      </w:r>
      <w:r w:rsidRPr="00362637">
        <w:rPr>
          <w:rFonts w:eastAsiaTheme="minorHAnsi"/>
          <w:color w:val="000000"/>
          <w:lang w:eastAsia="en-US"/>
          <w14:ligatures w14:val="standardContextual"/>
        </w:rPr>
        <w:t xml:space="preserve">amata apliecības </w:t>
      </w:r>
      <w:r w:rsidR="000F5EDC" w:rsidRPr="00362637">
        <w:rPr>
          <w:rFonts w:eastAsiaTheme="minorHAnsi"/>
          <w:color w:val="000000"/>
          <w:lang w:eastAsia="en-US"/>
          <w14:ligatures w14:val="standardContextual"/>
        </w:rPr>
        <w:t>numurs/</w:t>
      </w:r>
      <w:r w:rsidRPr="00362637">
        <w:rPr>
          <w:rFonts w:eastAsiaTheme="minorHAnsi"/>
          <w:color w:val="000000"/>
          <w:lang w:eastAsia="en-US"/>
          <w14:ligatures w14:val="standardContextual"/>
        </w:rPr>
        <w:t xml:space="preserve">, </w:t>
      </w:r>
      <w:r w:rsidR="000F5EDC" w:rsidRPr="00362637">
        <w:rPr>
          <w:rFonts w:eastAsiaTheme="minorHAnsi"/>
          <w:color w:val="000000"/>
          <w:lang w:eastAsia="en-US"/>
          <w14:ligatures w14:val="standardContextual"/>
        </w:rPr>
        <w:t>/pers. A/</w:t>
      </w:r>
      <w:r w:rsidR="007544DA" w:rsidRPr="00362637">
        <w:rPr>
          <w:rFonts w:eastAsiaTheme="minorHAnsi"/>
          <w:color w:val="000000"/>
          <w:lang w:eastAsia="en-US"/>
          <w14:ligatures w14:val="standardContextual"/>
        </w:rPr>
        <w:t xml:space="preserve">, fiziskās personas maksātnespējas procesā </w:t>
      </w:r>
      <w:r w:rsidRPr="00362637">
        <w:rPr>
          <w:rFonts w:eastAsiaTheme="minorHAnsi"/>
          <w:color w:val="000000"/>
          <w:lang w:eastAsia="en-US"/>
          <w14:ligatures w14:val="standardContextual"/>
        </w:rPr>
        <w:t xml:space="preserve">tiesisko pienākumu līdz 2025. gada </w:t>
      </w:r>
      <w:r w:rsidR="00C87D29" w:rsidRPr="00362637">
        <w:rPr>
          <w:rFonts w:eastAsiaTheme="minorHAnsi"/>
          <w:color w:val="000000"/>
          <w:lang w:eastAsia="en-US"/>
          <w14:ligatures w14:val="standardContextual"/>
        </w:rPr>
        <w:t>30</w:t>
      </w:r>
      <w:r w:rsidRPr="00362637">
        <w:rPr>
          <w:rFonts w:eastAsiaTheme="minorHAnsi"/>
          <w:color w:val="000000"/>
          <w:lang w:eastAsia="en-US"/>
          <w14:ligatures w14:val="standardContextual"/>
        </w:rPr>
        <w:t xml:space="preserve">. septembrim: </w:t>
      </w:r>
    </w:p>
    <w:p w14:paraId="2B9EAAE9" w14:textId="16D7C5AF" w:rsidR="00D36DDD" w:rsidRPr="00362637" w:rsidRDefault="00D36DDD" w:rsidP="00936552">
      <w:pPr>
        <w:spacing w:after="0" w:line="240" w:lineRule="auto"/>
        <w:ind w:firstLine="709"/>
        <w:jc w:val="both"/>
        <w:rPr>
          <w:rFonts w:eastAsiaTheme="minorHAnsi"/>
          <w:color w:val="000000"/>
          <w:lang w:eastAsia="en-US"/>
          <w14:ligatures w14:val="standardContextual"/>
        </w:rPr>
      </w:pPr>
      <w:r w:rsidRPr="00362637">
        <w:rPr>
          <w:rFonts w:eastAsiaTheme="minorHAnsi"/>
          <w:color w:val="000000"/>
          <w:lang w:eastAsia="en-US"/>
          <w14:ligatures w14:val="standardContextual"/>
        </w:rPr>
        <w:t xml:space="preserve">1) </w:t>
      </w:r>
      <w:r w:rsidR="00FF11B3" w:rsidRPr="00362637">
        <w:rPr>
          <w:rFonts w:eastAsiaTheme="minorHAnsi"/>
          <w:color w:val="000000"/>
          <w:lang w:eastAsia="en-US"/>
          <w14:ligatures w14:val="standardContextual"/>
        </w:rPr>
        <w:t>n</w:t>
      </w:r>
      <w:r w:rsidR="000C2609" w:rsidRPr="00362637">
        <w:rPr>
          <w:rFonts w:eastAsiaTheme="minorHAnsi"/>
          <w:color w:val="000000"/>
          <w:lang w:eastAsia="en-US"/>
          <w14:ligatures w14:val="standardContextual"/>
        </w:rPr>
        <w:t>osūtīt</w:t>
      </w:r>
      <w:r w:rsidR="00D27898" w:rsidRPr="00362637">
        <w:rPr>
          <w:iCs/>
          <w:lang w:eastAsia="en-US"/>
        </w:rPr>
        <w:t xml:space="preserve"> </w:t>
      </w:r>
      <w:r w:rsidR="005735CA" w:rsidRPr="00362637">
        <w:rPr>
          <w:iCs/>
          <w:lang w:eastAsia="en-US"/>
        </w:rPr>
        <w:t>/Nosaukums A/</w:t>
      </w:r>
      <w:r w:rsidR="00384BE7" w:rsidRPr="00362637">
        <w:rPr>
          <w:iCs/>
          <w:lang w:eastAsia="en-US"/>
        </w:rPr>
        <w:t xml:space="preserve"> </w:t>
      </w:r>
      <w:r w:rsidR="003E2CB7" w:rsidRPr="00362637">
        <w:rPr>
          <w:rFonts w:eastAsiaTheme="minorHAnsi"/>
          <w:color w:val="000000"/>
          <w:lang w:eastAsia="en-US"/>
          <w14:ligatures w14:val="standardContextual"/>
        </w:rPr>
        <w:t xml:space="preserve">paziņojumu par </w:t>
      </w:r>
      <w:r w:rsidR="005735CA" w:rsidRPr="00362637">
        <w:rPr>
          <w:rFonts w:eastAsiaTheme="minorHAnsi"/>
          <w:color w:val="000000"/>
          <w:lang w:eastAsia="en-US"/>
          <w14:ligatures w14:val="standardContextual"/>
        </w:rPr>
        <w:t>/pers. A/</w:t>
      </w:r>
      <w:r w:rsidR="003E2CB7" w:rsidRPr="00362637">
        <w:rPr>
          <w:rFonts w:eastAsiaTheme="minorHAnsi"/>
          <w:color w:val="000000"/>
          <w:lang w:eastAsia="en-US"/>
          <w14:ligatures w14:val="standardContextual"/>
        </w:rPr>
        <w:t xml:space="preserve"> maksātnespēju un kreditoru prasījumu iesniegšanu saskaņā ar </w:t>
      </w:r>
      <w:r w:rsidR="00C74242" w:rsidRPr="00362637">
        <w:t>Eiropas Parlamenta un Padomes regulas</w:t>
      </w:r>
      <w:r w:rsidR="00111676" w:rsidRPr="00362637">
        <w:t xml:space="preserve"> (ES)</w:t>
      </w:r>
      <w:r w:rsidR="00C74242" w:rsidRPr="00362637">
        <w:t xml:space="preserve"> Nr. 2015/848 54. panta </w:t>
      </w:r>
      <w:r w:rsidR="00FF739E" w:rsidRPr="00362637">
        <w:t>1. punkta</w:t>
      </w:r>
      <w:r w:rsidR="00C74242" w:rsidRPr="00362637">
        <w:t xml:space="preserve"> prasībām</w:t>
      </w:r>
      <w:r w:rsidR="002A0C23" w:rsidRPr="00362637">
        <w:rPr>
          <w:rFonts w:eastAsiaTheme="minorHAnsi"/>
          <w:color w:val="000000"/>
          <w:lang w:eastAsia="en-US"/>
          <w14:ligatures w14:val="standardContextual"/>
        </w:rPr>
        <w:t>;</w:t>
      </w:r>
    </w:p>
    <w:p w14:paraId="010F7F25" w14:textId="1168384E" w:rsidR="00D36DDD" w:rsidRPr="00362637" w:rsidRDefault="00F818C2" w:rsidP="00936552">
      <w:pPr>
        <w:spacing w:after="0" w:line="240" w:lineRule="auto"/>
        <w:ind w:firstLine="709"/>
        <w:jc w:val="both"/>
        <w:rPr>
          <w:rFonts w:eastAsiaTheme="minorHAnsi"/>
          <w:color w:val="000000"/>
          <w:lang w:eastAsia="en-US"/>
          <w14:ligatures w14:val="standardContextual"/>
        </w:rPr>
      </w:pPr>
      <w:r w:rsidRPr="00362637">
        <w:rPr>
          <w:rFonts w:eastAsiaTheme="minorHAnsi"/>
          <w:color w:val="000000"/>
          <w:lang w:eastAsia="en-US"/>
          <w14:ligatures w14:val="standardContextual"/>
        </w:rPr>
        <w:t>2</w:t>
      </w:r>
      <w:r w:rsidR="00D36DDD" w:rsidRPr="00362637">
        <w:rPr>
          <w:rFonts w:eastAsiaTheme="minorHAnsi"/>
          <w:color w:val="000000"/>
          <w:lang w:eastAsia="en-US"/>
          <w14:ligatures w14:val="standardContextual"/>
        </w:rPr>
        <w:t>) informēt par tiesiskā pienākuma izpildi Maksātnespējas kontroles dienestu.</w:t>
      </w:r>
    </w:p>
    <w:p w14:paraId="0DAE36CB" w14:textId="77777777" w:rsidR="007733C2" w:rsidRPr="00362637" w:rsidRDefault="007733C2" w:rsidP="00936552">
      <w:pPr>
        <w:spacing w:after="0" w:line="240" w:lineRule="auto"/>
        <w:ind w:firstLine="709"/>
        <w:jc w:val="both"/>
        <w:rPr>
          <w:rFonts w:eastAsiaTheme="minorHAnsi"/>
          <w:color w:val="000000"/>
          <w:lang w:eastAsia="en-US"/>
          <w14:ligatures w14:val="standardContextual"/>
        </w:rPr>
      </w:pPr>
    </w:p>
    <w:p w14:paraId="041FFAFB" w14:textId="77777777" w:rsidR="007733C2" w:rsidRPr="00362637" w:rsidRDefault="007733C2" w:rsidP="00936552">
      <w:pPr>
        <w:spacing w:after="0" w:line="240" w:lineRule="auto"/>
        <w:ind w:firstLine="709"/>
        <w:jc w:val="both"/>
        <w:rPr>
          <w:rFonts w:eastAsiaTheme="minorHAnsi"/>
          <w:color w:val="000000"/>
          <w:lang w:eastAsia="en-US"/>
          <w14:ligatures w14:val="standardContextual"/>
        </w:rPr>
      </w:pPr>
    </w:p>
    <w:p w14:paraId="674AE81D" w14:textId="77777777" w:rsidR="00D04493" w:rsidRPr="00362637" w:rsidRDefault="00D04493" w:rsidP="00936552">
      <w:pPr>
        <w:spacing w:after="0" w:line="240" w:lineRule="auto"/>
        <w:ind w:firstLine="709"/>
        <w:jc w:val="both"/>
        <w:rPr>
          <w:rFonts w:eastAsiaTheme="minorHAnsi"/>
          <w:color w:val="000000"/>
          <w:lang w:eastAsia="en-US"/>
          <w14:ligatures w14:val="standardContextual"/>
        </w:rPr>
      </w:pPr>
    </w:p>
    <w:p w14:paraId="6A4A6BF8" w14:textId="18807614" w:rsidR="00795E1F" w:rsidRPr="00362637" w:rsidRDefault="00795E1F" w:rsidP="00936552">
      <w:pPr>
        <w:spacing w:after="0" w:line="240" w:lineRule="auto"/>
        <w:ind w:firstLine="709"/>
        <w:jc w:val="both"/>
        <w:rPr>
          <w:rFonts w:eastAsiaTheme="minorHAnsi"/>
          <w:color w:val="000000"/>
          <w:lang w:eastAsia="en-US"/>
          <w14:ligatures w14:val="standardContextual"/>
        </w:rPr>
      </w:pPr>
      <w:r w:rsidRPr="00362637">
        <w:rPr>
          <w:rFonts w:eastAsiaTheme="minorHAnsi"/>
          <w:color w:val="000000"/>
          <w:lang w:eastAsia="en-US"/>
          <w14:ligatures w14:val="standardContextual"/>
        </w:rPr>
        <w:lastRenderedPageBreak/>
        <w:t xml:space="preserve">Lēmumu var pārsūdzēt </w:t>
      </w:r>
      <w:r w:rsidR="005735CA" w:rsidRPr="00362637">
        <w:rPr>
          <w:rFonts w:eastAsiaTheme="minorHAnsi"/>
          <w:color w:val="000000"/>
          <w:lang w:eastAsia="en-US"/>
          <w14:ligatures w14:val="standardContextual"/>
        </w:rPr>
        <w:t>/tiesas nosaukums/</w:t>
      </w:r>
      <w:r w:rsidRPr="00362637">
        <w:rPr>
          <w:rFonts w:eastAsiaTheme="minorHAnsi"/>
          <w:color w:val="000000"/>
          <w:lang w:eastAsia="en-US"/>
          <w14:ligatures w14:val="standardContextual"/>
        </w:rPr>
        <w:t xml:space="preserve"> mēneša laikā no lēmuma saņemšanas dienas. Sūdzības iesniegšana tiesā neaptur Maksātnespējas kontroles dienesta lēmuma darbību.</w:t>
      </w:r>
    </w:p>
    <w:p w14:paraId="441CEFBF" w14:textId="77777777" w:rsidR="00795E1F" w:rsidRPr="00362637" w:rsidRDefault="00795E1F" w:rsidP="00795E1F">
      <w:pPr>
        <w:widowControl/>
        <w:tabs>
          <w:tab w:val="left" w:pos="1080"/>
          <w:tab w:val="left" w:pos="1260"/>
        </w:tabs>
        <w:spacing w:after="0" w:line="240" w:lineRule="auto"/>
        <w:ind w:firstLine="735"/>
        <w:jc w:val="both"/>
        <w:rPr>
          <w:rFonts w:eastAsia="Times New Roman"/>
        </w:rPr>
      </w:pPr>
    </w:p>
    <w:p w14:paraId="25264662" w14:textId="77777777" w:rsidR="00795E1F" w:rsidRPr="00362637" w:rsidRDefault="00795E1F" w:rsidP="00795E1F">
      <w:pPr>
        <w:autoSpaceDE w:val="0"/>
        <w:autoSpaceDN w:val="0"/>
        <w:adjustRightInd w:val="0"/>
        <w:spacing w:after="0" w:line="240" w:lineRule="auto"/>
        <w:ind w:firstLine="720"/>
        <w:jc w:val="both"/>
        <w:rPr>
          <w:rFonts w:eastAsia="Times New Roman"/>
        </w:rPr>
      </w:pPr>
    </w:p>
    <w:p w14:paraId="18468136" w14:textId="3B1EA25D" w:rsidR="00913316" w:rsidRPr="00362637" w:rsidRDefault="00913316" w:rsidP="00913316">
      <w:pPr>
        <w:widowControl/>
        <w:tabs>
          <w:tab w:val="left" w:pos="7797"/>
        </w:tabs>
        <w:spacing w:after="120" w:line="240" w:lineRule="auto"/>
        <w:rPr>
          <w:rFonts w:eastAsia="Times New Roman"/>
        </w:rPr>
      </w:pPr>
      <w:r w:rsidRPr="00362637">
        <w:rPr>
          <w:rFonts w:eastAsia="Times New Roman"/>
        </w:rPr>
        <w:t>Direktor</w:t>
      </w:r>
      <w:r w:rsidR="00B04C16" w:rsidRPr="00362637">
        <w:rPr>
          <w:rFonts w:eastAsia="Times New Roman"/>
        </w:rPr>
        <w:t>e</w:t>
      </w:r>
      <w:r w:rsidRPr="00362637">
        <w:rPr>
          <w:rFonts w:eastAsia="Times New Roman"/>
        </w:rPr>
        <w:tab/>
      </w:r>
      <w:r w:rsidR="00B04C16" w:rsidRPr="00362637">
        <w:rPr>
          <w:rFonts w:eastAsia="Times New Roman"/>
        </w:rPr>
        <w:t>Inese Šteina</w:t>
      </w:r>
    </w:p>
    <w:p w14:paraId="2EFEF4F1" w14:textId="77777777" w:rsidR="00795E1F" w:rsidRPr="00362637" w:rsidRDefault="00795E1F" w:rsidP="00795E1F">
      <w:pPr>
        <w:tabs>
          <w:tab w:val="left" w:pos="8080"/>
        </w:tabs>
        <w:autoSpaceDE w:val="0"/>
        <w:autoSpaceDN w:val="0"/>
        <w:adjustRightInd w:val="0"/>
        <w:spacing w:after="0" w:line="240" w:lineRule="auto"/>
        <w:jc w:val="both"/>
        <w:rPr>
          <w:rFonts w:eastAsia="Times New Roman"/>
        </w:rPr>
      </w:pPr>
    </w:p>
    <w:p w14:paraId="060798EC" w14:textId="77777777" w:rsidR="00795E1F" w:rsidRPr="00362637" w:rsidRDefault="00795E1F" w:rsidP="00795E1F">
      <w:pPr>
        <w:tabs>
          <w:tab w:val="left" w:pos="8080"/>
        </w:tabs>
        <w:autoSpaceDE w:val="0"/>
        <w:autoSpaceDN w:val="0"/>
        <w:adjustRightInd w:val="0"/>
        <w:spacing w:after="0" w:line="240" w:lineRule="auto"/>
        <w:jc w:val="both"/>
        <w:rPr>
          <w:rFonts w:eastAsia="Times New Roman"/>
        </w:rPr>
      </w:pPr>
    </w:p>
    <w:p w14:paraId="6C824144" w14:textId="1CC26090" w:rsidR="00795E1F" w:rsidRPr="00362637" w:rsidRDefault="00795E1F" w:rsidP="00795E1F">
      <w:pPr>
        <w:tabs>
          <w:tab w:val="left" w:pos="5940"/>
        </w:tabs>
        <w:jc w:val="both"/>
        <w:rPr>
          <w:sz w:val="18"/>
          <w:szCs w:val="18"/>
        </w:rPr>
      </w:pPr>
    </w:p>
    <w:p w14:paraId="5C0EBBFF" w14:textId="77777777" w:rsidR="00795E1F" w:rsidRPr="00A6085A" w:rsidRDefault="00795E1F" w:rsidP="00795E1F">
      <w:pPr>
        <w:tabs>
          <w:tab w:val="left" w:pos="5940"/>
        </w:tabs>
        <w:jc w:val="center"/>
        <w:rPr>
          <w:iCs/>
          <w:sz w:val="22"/>
          <w:szCs w:val="22"/>
          <w:lang w:eastAsia="en-US"/>
        </w:rPr>
      </w:pPr>
      <w:r w:rsidRPr="00362637">
        <w:rPr>
          <w:sz w:val="22"/>
          <w:szCs w:val="22"/>
          <w:lang w:eastAsia="en-US"/>
        </w:rPr>
        <w:t>DOKUMENTS IR PARAKSTĪTS AR DROŠU ELEKTRONISK</w:t>
      </w:r>
      <w:bookmarkEnd w:id="0"/>
      <w:bookmarkEnd w:id="1"/>
      <w:r w:rsidRPr="00362637">
        <w:rPr>
          <w:sz w:val="22"/>
          <w:szCs w:val="22"/>
          <w:lang w:eastAsia="en-US"/>
        </w:rPr>
        <w:t>O PARAKSTU</w:t>
      </w:r>
    </w:p>
    <w:p w14:paraId="4DBBFB97" w14:textId="4BF0A4B7" w:rsidR="00E8606B" w:rsidRPr="00795E1F" w:rsidRDefault="00E8606B" w:rsidP="00795E1F"/>
    <w:sectPr w:rsidR="00E8606B" w:rsidRPr="00795E1F" w:rsidSect="00DB5969">
      <w:footerReference w:type="default" r:id="rId9"/>
      <w:head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9ACB" w14:textId="77777777" w:rsidR="002A42D1" w:rsidRDefault="002A42D1">
      <w:pPr>
        <w:spacing w:after="0" w:line="240" w:lineRule="auto"/>
      </w:pPr>
      <w:r>
        <w:separator/>
      </w:r>
    </w:p>
  </w:endnote>
  <w:endnote w:type="continuationSeparator" w:id="0">
    <w:p w14:paraId="213492C0" w14:textId="77777777" w:rsidR="002A42D1" w:rsidRDefault="002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53452"/>
      <w:docPartObj>
        <w:docPartGallery w:val="Page Numbers (Bottom of Page)"/>
        <w:docPartUnique/>
      </w:docPartObj>
    </w:sdtPr>
    <w:sdtContent>
      <w:p w14:paraId="5ED89BAE" w14:textId="020BBBED" w:rsidR="00617E53" w:rsidRDefault="00617E53">
        <w:pPr>
          <w:pStyle w:val="Kjene"/>
          <w:jc w:val="center"/>
        </w:pPr>
        <w:r>
          <w:fldChar w:fldCharType="begin"/>
        </w:r>
        <w:r>
          <w:instrText>PAGE   \* MERGEFORMAT</w:instrText>
        </w:r>
        <w:r>
          <w:fldChar w:fldCharType="separate"/>
        </w:r>
        <w:r>
          <w:t>2</w:t>
        </w:r>
        <w:r>
          <w:fldChar w:fldCharType="end"/>
        </w:r>
      </w:p>
    </w:sdtContent>
  </w:sdt>
  <w:p w14:paraId="240E3FB8" w14:textId="77777777" w:rsidR="00723274" w:rsidRDefault="0072327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2C7E" w14:textId="77777777" w:rsidR="002A42D1" w:rsidRDefault="002A42D1">
      <w:pPr>
        <w:spacing w:after="0" w:line="240" w:lineRule="auto"/>
      </w:pPr>
      <w:r>
        <w:separator/>
      </w:r>
    </w:p>
  </w:footnote>
  <w:footnote w:type="continuationSeparator" w:id="0">
    <w:p w14:paraId="7E27A603" w14:textId="77777777" w:rsidR="002A42D1" w:rsidRDefault="002A42D1">
      <w:pPr>
        <w:spacing w:after="0" w:line="240" w:lineRule="auto"/>
      </w:pPr>
      <w:r>
        <w:continuationSeparator/>
      </w:r>
    </w:p>
  </w:footnote>
  <w:footnote w:id="1">
    <w:p w14:paraId="61339E81" w14:textId="54545102" w:rsidR="00030958" w:rsidRPr="00CF4535" w:rsidRDefault="00030958" w:rsidP="00E039E5">
      <w:pPr>
        <w:pStyle w:val="Vresteksts"/>
        <w:jc w:val="both"/>
      </w:pPr>
      <w:r w:rsidRPr="00B60935">
        <w:rPr>
          <w:rStyle w:val="Vresatsauce"/>
        </w:rPr>
        <w:footnoteRef/>
      </w:r>
      <w:r w:rsidRPr="00B60935">
        <w:t> Rīgas pilsētas tiesas 2024. gada 27. jūnija lēmums lietā Nr. C771269624.</w:t>
      </w:r>
    </w:p>
  </w:footnote>
  <w:footnote w:id="2">
    <w:p w14:paraId="1454B2AD" w14:textId="77777777" w:rsidR="00030958" w:rsidRPr="00B60935" w:rsidRDefault="00030958" w:rsidP="00E039E5">
      <w:pPr>
        <w:pStyle w:val="Vresteksts"/>
        <w:jc w:val="both"/>
      </w:pPr>
      <w:r w:rsidRPr="00B60935">
        <w:rPr>
          <w:rStyle w:val="Vresatsauce"/>
        </w:rPr>
        <w:footnoteRef/>
      </w:r>
      <w:r w:rsidRPr="00B60935">
        <w:t> </w:t>
      </w:r>
      <w:hyperlink r:id="rId1" w:anchor="p66" w:history="1">
        <w:r w:rsidRPr="00E039E5">
          <w:rPr>
            <w:rStyle w:val="Hipersaite"/>
            <w:color w:val="auto"/>
            <w:u w:val="none"/>
          </w:rPr>
          <w:t>Maksātnespējas likuma 66. panta ceturtā daļa</w:t>
        </w:r>
      </w:hyperlink>
      <w:r w:rsidRPr="00B02BD9">
        <w:t>.</w:t>
      </w:r>
      <w:r w:rsidRPr="00B60935">
        <w:t xml:space="preserve"> </w:t>
      </w:r>
    </w:p>
  </w:footnote>
  <w:footnote w:id="3">
    <w:p w14:paraId="10575B56" w14:textId="77777777" w:rsidR="00030958" w:rsidRPr="00B60935" w:rsidRDefault="00030958" w:rsidP="00E039E5">
      <w:pPr>
        <w:pStyle w:val="Vresteksts"/>
        <w:jc w:val="both"/>
        <w:rPr>
          <w:kern w:val="2"/>
          <w14:ligatures w14:val="standardContextual"/>
        </w:rPr>
      </w:pPr>
      <w:r w:rsidRPr="00B60935">
        <w:rPr>
          <w:rStyle w:val="Vresatsauce"/>
        </w:rPr>
        <w:footnoteRef/>
      </w:r>
      <w:r w:rsidRPr="00B60935">
        <w:t xml:space="preserve"> Regulas par maksātnespējas procedūrām 63. apsvērums. </w:t>
      </w:r>
    </w:p>
  </w:footnote>
  <w:footnote w:id="4">
    <w:p w14:paraId="0257A679" w14:textId="77777777" w:rsidR="00030958" w:rsidRPr="00B60935" w:rsidRDefault="00030958" w:rsidP="00E039E5">
      <w:pPr>
        <w:pStyle w:val="Vresteksts"/>
        <w:jc w:val="both"/>
      </w:pPr>
      <w:r w:rsidRPr="00B60935">
        <w:rPr>
          <w:rStyle w:val="Vresatsauce"/>
        </w:rPr>
        <w:footnoteRef/>
      </w:r>
      <w:r w:rsidRPr="00B60935">
        <w:t> Latvijas Republikas Augstākās tiesas Civillietu departamenta 2016. gada 26. februāra spriedums lietā Nr. C19056212, SKC–77/2016.</w:t>
      </w:r>
    </w:p>
  </w:footnote>
  <w:footnote w:id="5">
    <w:p w14:paraId="779A1438" w14:textId="77777777" w:rsidR="00030958" w:rsidRPr="00B60935" w:rsidRDefault="00030958" w:rsidP="00E039E5">
      <w:pPr>
        <w:pStyle w:val="Vresteksts"/>
        <w:jc w:val="both"/>
      </w:pPr>
      <w:r w:rsidRPr="00B60935">
        <w:rPr>
          <w:rStyle w:val="Vresatsauce"/>
        </w:rPr>
        <w:footnoteRef/>
      </w:r>
      <w:r w:rsidRPr="00B60935">
        <w:t xml:space="preserve"> Saskaņā ar Regulas par maksātnespējas procedūrām 54. panta 2. punktu paziņojumā norādāma informācija par termiņiem, līgumsodiem, kas noteikti attiecībā uz šiem termiņiem, struktūru vai iestādi, kas ir pilnvarota pieņemt prasījumu un citus noteiktos pasākumus. Tāpat šādā paziņojumā arī jānorāda, vai kreditoriem, kuru prasījumi ir prioritāri vai nodrošināti ar lietu tiesībām, ir jāiesniedz prasījumi. </w:t>
      </w:r>
    </w:p>
  </w:footnote>
  <w:footnote w:id="6">
    <w:p w14:paraId="2484FAE7" w14:textId="4AE9D5D1" w:rsidR="00DC6207" w:rsidRDefault="00DC6207" w:rsidP="00E039E5">
      <w:pPr>
        <w:pStyle w:val="Vresteksts"/>
        <w:jc w:val="both"/>
      </w:pPr>
      <w:r w:rsidRPr="004E0298">
        <w:rPr>
          <w:rStyle w:val="Vresatsauce"/>
        </w:rPr>
        <w:footnoteRef/>
      </w:r>
      <w:r w:rsidR="00E051A2" w:rsidRPr="004E0298">
        <w:t xml:space="preserve"> </w:t>
      </w:r>
      <w:hyperlink r:id="rId2" w:history="1">
        <w:r w:rsidR="00E051A2" w:rsidRPr="004E0298">
          <w:rPr>
            <w:rStyle w:val="Hipersaite"/>
            <w:color w:val="auto"/>
          </w:rPr>
          <w:t>Maksātnespējas kontroles dienesta</w:t>
        </w:r>
        <w:r w:rsidRPr="004E0298">
          <w:rPr>
            <w:rStyle w:val="Hipersaite"/>
            <w:color w:val="auto"/>
          </w:rPr>
          <w:t xml:space="preserve"> </w:t>
        </w:r>
        <w:r w:rsidR="00536122" w:rsidRPr="004E0298">
          <w:rPr>
            <w:rStyle w:val="Hipersaite"/>
            <w:color w:val="auto"/>
          </w:rPr>
          <w:t>Informatīvais materiāls par atklātības principa nodrošināšanu maksātnespējas procesā</w:t>
        </w:r>
      </w:hyperlink>
      <w:r w:rsidR="00B07363" w:rsidRPr="004E0298">
        <w:t xml:space="preserve">. </w:t>
      </w:r>
    </w:p>
  </w:footnote>
  <w:footnote w:id="7">
    <w:p w14:paraId="2866E11C" w14:textId="7A5E52FD" w:rsidR="005B6EF7" w:rsidRDefault="005B6EF7" w:rsidP="00E039E5">
      <w:pPr>
        <w:pStyle w:val="Vresteksts"/>
        <w:jc w:val="both"/>
      </w:pPr>
      <w:r>
        <w:rPr>
          <w:rStyle w:val="Vresatsauce"/>
        </w:rPr>
        <w:footnoteRef/>
      </w:r>
      <w:r>
        <w:t xml:space="preserve"> </w:t>
      </w:r>
      <w:r w:rsidR="00D2668B">
        <w:t xml:space="preserve">Rīgas </w:t>
      </w:r>
      <w:r w:rsidR="004673F7">
        <w:t xml:space="preserve">rajona tiesas 2024. gada </w:t>
      </w:r>
      <w:r w:rsidR="00965DC8">
        <w:t xml:space="preserve">3. septembra lēmums lietā Nr. </w:t>
      </w:r>
      <w:r w:rsidR="00965DC8" w:rsidRPr="00965DC8">
        <w:t>C33426524</w:t>
      </w:r>
      <w:r w:rsidR="00A34C0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362637" w14:paraId="08348528" w14:textId="77777777" w:rsidTr="00D37331">
      <w:tc>
        <w:tcPr>
          <w:tcW w:w="4792" w:type="dxa"/>
        </w:tcPr>
        <w:p w14:paraId="1E9E4CE3" w14:textId="1722E2B1" w:rsidR="00D37331" w:rsidRDefault="00F9062E" w:rsidP="00D37331">
          <w:pPr>
            <w:tabs>
              <w:tab w:val="left" w:pos="2296"/>
            </w:tabs>
          </w:pPr>
          <w:r>
            <w:t>23.09.2025.</w:t>
          </w:r>
        </w:p>
      </w:tc>
      <w:tc>
        <w:tcPr>
          <w:tcW w:w="4792" w:type="dxa"/>
        </w:tcPr>
        <w:p w14:paraId="39F85DD5" w14:textId="4B090FB4" w:rsidR="00D37331" w:rsidRPr="00362637" w:rsidRDefault="0023162E" w:rsidP="00D37331">
          <w:pPr>
            <w:tabs>
              <w:tab w:val="left" w:pos="2296"/>
            </w:tabs>
            <w:jc w:val="right"/>
          </w:pPr>
          <w:r w:rsidRPr="00362637">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9BCFC"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D44AA"/>
    <w:multiLevelType w:val="multilevel"/>
    <w:tmpl w:val="C062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8544825"/>
    <w:multiLevelType w:val="hybridMultilevel"/>
    <w:tmpl w:val="E8E897F2"/>
    <w:lvl w:ilvl="0" w:tplc="B2444D5C">
      <w:start w:val="1"/>
      <w:numFmt w:val="decimal"/>
      <w:lvlText w:val="%1."/>
      <w:lvlJc w:val="left"/>
      <w:pPr>
        <w:ind w:left="1020" w:hanging="360"/>
      </w:pPr>
    </w:lvl>
    <w:lvl w:ilvl="1" w:tplc="59FEB6A6">
      <w:start w:val="1"/>
      <w:numFmt w:val="decimal"/>
      <w:lvlText w:val="%2."/>
      <w:lvlJc w:val="left"/>
      <w:pPr>
        <w:ind w:left="1020" w:hanging="360"/>
      </w:pPr>
    </w:lvl>
    <w:lvl w:ilvl="2" w:tplc="6C8A5BB8">
      <w:start w:val="1"/>
      <w:numFmt w:val="decimal"/>
      <w:lvlText w:val="%3."/>
      <w:lvlJc w:val="left"/>
      <w:pPr>
        <w:ind w:left="1020" w:hanging="360"/>
      </w:pPr>
    </w:lvl>
    <w:lvl w:ilvl="3" w:tplc="2488E7DA">
      <w:start w:val="1"/>
      <w:numFmt w:val="decimal"/>
      <w:lvlText w:val="%4."/>
      <w:lvlJc w:val="left"/>
      <w:pPr>
        <w:ind w:left="1020" w:hanging="360"/>
      </w:pPr>
    </w:lvl>
    <w:lvl w:ilvl="4" w:tplc="1EA28CFA">
      <w:start w:val="1"/>
      <w:numFmt w:val="decimal"/>
      <w:lvlText w:val="%5."/>
      <w:lvlJc w:val="left"/>
      <w:pPr>
        <w:ind w:left="1020" w:hanging="360"/>
      </w:pPr>
    </w:lvl>
    <w:lvl w:ilvl="5" w:tplc="CE341DFE">
      <w:start w:val="1"/>
      <w:numFmt w:val="decimal"/>
      <w:lvlText w:val="%6."/>
      <w:lvlJc w:val="left"/>
      <w:pPr>
        <w:ind w:left="1020" w:hanging="360"/>
      </w:pPr>
    </w:lvl>
    <w:lvl w:ilvl="6" w:tplc="F6D03CBA">
      <w:start w:val="1"/>
      <w:numFmt w:val="decimal"/>
      <w:lvlText w:val="%7."/>
      <w:lvlJc w:val="left"/>
      <w:pPr>
        <w:ind w:left="1020" w:hanging="360"/>
      </w:pPr>
    </w:lvl>
    <w:lvl w:ilvl="7" w:tplc="FC865F06">
      <w:start w:val="1"/>
      <w:numFmt w:val="decimal"/>
      <w:lvlText w:val="%8."/>
      <w:lvlJc w:val="left"/>
      <w:pPr>
        <w:ind w:left="1020" w:hanging="360"/>
      </w:pPr>
    </w:lvl>
    <w:lvl w:ilvl="8" w:tplc="032C00A0">
      <w:start w:val="1"/>
      <w:numFmt w:val="decimal"/>
      <w:lvlText w:val="%9."/>
      <w:lvlJc w:val="left"/>
      <w:pPr>
        <w:ind w:left="1020" w:hanging="36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4D59184F"/>
    <w:multiLevelType w:val="multilevel"/>
    <w:tmpl w:val="AD7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65FC5"/>
    <w:multiLevelType w:val="hybridMultilevel"/>
    <w:tmpl w:val="920687EE"/>
    <w:lvl w:ilvl="0" w:tplc="2BDAA2E8">
      <w:start w:val="1"/>
      <w:numFmt w:val="decimal"/>
      <w:lvlText w:val="%1."/>
      <w:lvlJc w:val="left"/>
      <w:pPr>
        <w:ind w:left="1020" w:hanging="360"/>
      </w:pPr>
    </w:lvl>
    <w:lvl w:ilvl="1" w:tplc="0D7224BA">
      <w:start w:val="1"/>
      <w:numFmt w:val="decimal"/>
      <w:lvlText w:val="%2."/>
      <w:lvlJc w:val="left"/>
      <w:pPr>
        <w:ind w:left="1020" w:hanging="360"/>
      </w:pPr>
    </w:lvl>
    <w:lvl w:ilvl="2" w:tplc="7D8C08FE">
      <w:start w:val="1"/>
      <w:numFmt w:val="decimal"/>
      <w:lvlText w:val="%3."/>
      <w:lvlJc w:val="left"/>
      <w:pPr>
        <w:ind w:left="1020" w:hanging="360"/>
      </w:pPr>
    </w:lvl>
    <w:lvl w:ilvl="3" w:tplc="513CD924">
      <w:start w:val="1"/>
      <w:numFmt w:val="decimal"/>
      <w:lvlText w:val="%4."/>
      <w:lvlJc w:val="left"/>
      <w:pPr>
        <w:ind w:left="1020" w:hanging="360"/>
      </w:pPr>
    </w:lvl>
    <w:lvl w:ilvl="4" w:tplc="D652A75C">
      <w:start w:val="1"/>
      <w:numFmt w:val="decimal"/>
      <w:lvlText w:val="%5."/>
      <w:lvlJc w:val="left"/>
      <w:pPr>
        <w:ind w:left="1020" w:hanging="360"/>
      </w:pPr>
    </w:lvl>
    <w:lvl w:ilvl="5" w:tplc="E074687C">
      <w:start w:val="1"/>
      <w:numFmt w:val="decimal"/>
      <w:lvlText w:val="%6."/>
      <w:lvlJc w:val="left"/>
      <w:pPr>
        <w:ind w:left="1020" w:hanging="360"/>
      </w:pPr>
    </w:lvl>
    <w:lvl w:ilvl="6" w:tplc="E318BDE6">
      <w:start w:val="1"/>
      <w:numFmt w:val="decimal"/>
      <w:lvlText w:val="%7."/>
      <w:lvlJc w:val="left"/>
      <w:pPr>
        <w:ind w:left="1020" w:hanging="360"/>
      </w:pPr>
    </w:lvl>
    <w:lvl w:ilvl="7" w:tplc="9424C376">
      <w:start w:val="1"/>
      <w:numFmt w:val="decimal"/>
      <w:lvlText w:val="%8."/>
      <w:lvlJc w:val="left"/>
      <w:pPr>
        <w:ind w:left="1020" w:hanging="360"/>
      </w:pPr>
    </w:lvl>
    <w:lvl w:ilvl="8" w:tplc="1DB051F4">
      <w:start w:val="1"/>
      <w:numFmt w:val="decimal"/>
      <w:lvlText w:val="%9."/>
      <w:lvlJc w:val="left"/>
      <w:pPr>
        <w:ind w:left="1020" w:hanging="360"/>
      </w:pPr>
    </w:lvl>
  </w:abstractNum>
  <w:abstractNum w:abstractNumId="17" w15:restartNumberingAfterBreak="0">
    <w:nsid w:val="5284614B"/>
    <w:multiLevelType w:val="hybridMultilevel"/>
    <w:tmpl w:val="B128DACE"/>
    <w:lvl w:ilvl="0" w:tplc="B54A63E4">
      <w:start w:val="1"/>
      <w:numFmt w:val="decimal"/>
      <w:lvlText w:val="%1."/>
      <w:lvlJc w:val="left"/>
      <w:pPr>
        <w:ind w:left="1020" w:hanging="360"/>
      </w:pPr>
    </w:lvl>
    <w:lvl w:ilvl="1" w:tplc="AE00E94E">
      <w:start w:val="1"/>
      <w:numFmt w:val="decimal"/>
      <w:lvlText w:val="%2."/>
      <w:lvlJc w:val="left"/>
      <w:pPr>
        <w:ind w:left="1020" w:hanging="360"/>
      </w:pPr>
    </w:lvl>
    <w:lvl w:ilvl="2" w:tplc="E230FD12">
      <w:start w:val="1"/>
      <w:numFmt w:val="decimal"/>
      <w:lvlText w:val="%3."/>
      <w:lvlJc w:val="left"/>
      <w:pPr>
        <w:ind w:left="1020" w:hanging="360"/>
      </w:pPr>
    </w:lvl>
    <w:lvl w:ilvl="3" w:tplc="586C8EAE">
      <w:start w:val="1"/>
      <w:numFmt w:val="decimal"/>
      <w:lvlText w:val="%4."/>
      <w:lvlJc w:val="left"/>
      <w:pPr>
        <w:ind w:left="1020" w:hanging="360"/>
      </w:pPr>
    </w:lvl>
    <w:lvl w:ilvl="4" w:tplc="0FCA1F44">
      <w:start w:val="1"/>
      <w:numFmt w:val="decimal"/>
      <w:lvlText w:val="%5."/>
      <w:lvlJc w:val="left"/>
      <w:pPr>
        <w:ind w:left="1020" w:hanging="360"/>
      </w:pPr>
    </w:lvl>
    <w:lvl w:ilvl="5" w:tplc="EA3466AC">
      <w:start w:val="1"/>
      <w:numFmt w:val="decimal"/>
      <w:lvlText w:val="%6."/>
      <w:lvlJc w:val="left"/>
      <w:pPr>
        <w:ind w:left="1020" w:hanging="360"/>
      </w:pPr>
    </w:lvl>
    <w:lvl w:ilvl="6" w:tplc="4D066D10">
      <w:start w:val="1"/>
      <w:numFmt w:val="decimal"/>
      <w:lvlText w:val="%7."/>
      <w:lvlJc w:val="left"/>
      <w:pPr>
        <w:ind w:left="1020" w:hanging="360"/>
      </w:pPr>
    </w:lvl>
    <w:lvl w:ilvl="7" w:tplc="96A4A808">
      <w:start w:val="1"/>
      <w:numFmt w:val="decimal"/>
      <w:lvlText w:val="%8."/>
      <w:lvlJc w:val="left"/>
      <w:pPr>
        <w:ind w:left="1020" w:hanging="360"/>
      </w:pPr>
    </w:lvl>
    <w:lvl w:ilvl="8" w:tplc="CE9607AA">
      <w:start w:val="1"/>
      <w:numFmt w:val="decimal"/>
      <w:lvlText w:val="%9."/>
      <w:lvlJc w:val="left"/>
      <w:pPr>
        <w:ind w:left="1020" w:hanging="360"/>
      </w:pPr>
    </w:lvl>
  </w:abstractNum>
  <w:abstractNum w:abstractNumId="18" w15:restartNumberingAfterBreak="0">
    <w:nsid w:val="5657CA50"/>
    <w:multiLevelType w:val="singleLevel"/>
    <w:tmpl w:val="5657CA50"/>
    <w:lvl w:ilvl="0">
      <w:start w:val="1"/>
      <w:numFmt w:val="decimal"/>
      <w:suff w:val="space"/>
      <w:lvlText w:val="[%1]"/>
      <w:lvlJc w:val="left"/>
      <w:pPr>
        <w:ind w:left="0" w:firstLine="0"/>
      </w:pPr>
    </w:lvl>
  </w:abstractNum>
  <w:num w:numId="1" w16cid:durableId="1625968264">
    <w:abstractNumId w:val="10"/>
  </w:num>
  <w:num w:numId="2" w16cid:durableId="426313673">
    <w:abstractNumId w:val="8"/>
  </w:num>
  <w:num w:numId="3" w16cid:durableId="889265648">
    <w:abstractNumId w:val="7"/>
  </w:num>
  <w:num w:numId="4" w16cid:durableId="591664501">
    <w:abstractNumId w:val="6"/>
  </w:num>
  <w:num w:numId="5" w16cid:durableId="1038436870">
    <w:abstractNumId w:val="5"/>
  </w:num>
  <w:num w:numId="6" w16cid:durableId="722413122">
    <w:abstractNumId w:val="9"/>
  </w:num>
  <w:num w:numId="7" w16cid:durableId="1570383756">
    <w:abstractNumId w:val="4"/>
  </w:num>
  <w:num w:numId="8" w16cid:durableId="688994298">
    <w:abstractNumId w:val="3"/>
  </w:num>
  <w:num w:numId="9" w16cid:durableId="601228476">
    <w:abstractNumId w:val="2"/>
  </w:num>
  <w:num w:numId="10" w16cid:durableId="1789547376">
    <w:abstractNumId w:val="1"/>
  </w:num>
  <w:num w:numId="11" w16cid:durableId="685981843">
    <w:abstractNumId w:val="0"/>
  </w:num>
  <w:num w:numId="12" w16cid:durableId="1217427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382645">
    <w:abstractNumId w:val="18"/>
    <w:lvlOverride w:ilvl="0">
      <w:startOverride w:val="1"/>
    </w:lvlOverride>
  </w:num>
  <w:num w:numId="14" w16cid:durableId="87190684">
    <w:abstractNumId w:val="14"/>
  </w:num>
  <w:num w:numId="15" w16cid:durableId="2052340968">
    <w:abstractNumId w:val="15"/>
  </w:num>
  <w:num w:numId="16" w16cid:durableId="701587765">
    <w:abstractNumId w:val="11"/>
  </w:num>
  <w:num w:numId="17" w16cid:durableId="968317718">
    <w:abstractNumId w:val="17"/>
  </w:num>
  <w:num w:numId="18" w16cid:durableId="1057044431">
    <w:abstractNumId w:val="16"/>
  </w:num>
  <w:num w:numId="19" w16cid:durableId="994799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9F"/>
    <w:rsid w:val="000055CF"/>
    <w:rsid w:val="00006384"/>
    <w:rsid w:val="00006C37"/>
    <w:rsid w:val="00011CD4"/>
    <w:rsid w:val="000122C3"/>
    <w:rsid w:val="00023484"/>
    <w:rsid w:val="0002551C"/>
    <w:rsid w:val="000267AC"/>
    <w:rsid w:val="000279A7"/>
    <w:rsid w:val="00030349"/>
    <w:rsid w:val="00030958"/>
    <w:rsid w:val="000324A8"/>
    <w:rsid w:val="00032E2D"/>
    <w:rsid w:val="0004190A"/>
    <w:rsid w:val="00042250"/>
    <w:rsid w:val="00044F4D"/>
    <w:rsid w:val="00050C6A"/>
    <w:rsid w:val="00050DD8"/>
    <w:rsid w:val="0005673A"/>
    <w:rsid w:val="0005731C"/>
    <w:rsid w:val="00060354"/>
    <w:rsid w:val="00061C78"/>
    <w:rsid w:val="00064256"/>
    <w:rsid w:val="0006578A"/>
    <w:rsid w:val="00065D6B"/>
    <w:rsid w:val="000674F9"/>
    <w:rsid w:val="00071E6E"/>
    <w:rsid w:val="00073F06"/>
    <w:rsid w:val="0008110C"/>
    <w:rsid w:val="000818B6"/>
    <w:rsid w:val="00082623"/>
    <w:rsid w:val="000953EF"/>
    <w:rsid w:val="0009605C"/>
    <w:rsid w:val="00097336"/>
    <w:rsid w:val="000A0CDA"/>
    <w:rsid w:val="000A0D1D"/>
    <w:rsid w:val="000A0EAC"/>
    <w:rsid w:val="000A0FFE"/>
    <w:rsid w:val="000A2366"/>
    <w:rsid w:val="000A514C"/>
    <w:rsid w:val="000A5567"/>
    <w:rsid w:val="000A5D78"/>
    <w:rsid w:val="000B03D6"/>
    <w:rsid w:val="000B2307"/>
    <w:rsid w:val="000B283E"/>
    <w:rsid w:val="000B36DE"/>
    <w:rsid w:val="000B5117"/>
    <w:rsid w:val="000B6BCD"/>
    <w:rsid w:val="000C1B8C"/>
    <w:rsid w:val="000C2074"/>
    <w:rsid w:val="000C2609"/>
    <w:rsid w:val="000C3AAF"/>
    <w:rsid w:val="000C79A4"/>
    <w:rsid w:val="000D363F"/>
    <w:rsid w:val="000D5F87"/>
    <w:rsid w:val="000D7019"/>
    <w:rsid w:val="000F1B80"/>
    <w:rsid w:val="000F44EB"/>
    <w:rsid w:val="000F5EDC"/>
    <w:rsid w:val="001000CE"/>
    <w:rsid w:val="001032F7"/>
    <w:rsid w:val="001035B5"/>
    <w:rsid w:val="00106DA1"/>
    <w:rsid w:val="00107296"/>
    <w:rsid w:val="00111676"/>
    <w:rsid w:val="001146B3"/>
    <w:rsid w:val="001159AC"/>
    <w:rsid w:val="00116625"/>
    <w:rsid w:val="00124173"/>
    <w:rsid w:val="00126791"/>
    <w:rsid w:val="00126EC3"/>
    <w:rsid w:val="00133246"/>
    <w:rsid w:val="00142127"/>
    <w:rsid w:val="00147AFA"/>
    <w:rsid w:val="00152815"/>
    <w:rsid w:val="0015318D"/>
    <w:rsid w:val="00153F38"/>
    <w:rsid w:val="00154C01"/>
    <w:rsid w:val="00154EC9"/>
    <w:rsid w:val="001555FB"/>
    <w:rsid w:val="00160D7A"/>
    <w:rsid w:val="00170D41"/>
    <w:rsid w:val="00171D6B"/>
    <w:rsid w:val="001749C9"/>
    <w:rsid w:val="001763D7"/>
    <w:rsid w:val="00181B9A"/>
    <w:rsid w:val="001823E7"/>
    <w:rsid w:val="00182B3C"/>
    <w:rsid w:val="00186651"/>
    <w:rsid w:val="001870C0"/>
    <w:rsid w:val="0018773F"/>
    <w:rsid w:val="00193983"/>
    <w:rsid w:val="0019460F"/>
    <w:rsid w:val="001947F8"/>
    <w:rsid w:val="001974A4"/>
    <w:rsid w:val="00197F7E"/>
    <w:rsid w:val="001A1D91"/>
    <w:rsid w:val="001A4E43"/>
    <w:rsid w:val="001A579F"/>
    <w:rsid w:val="001A5823"/>
    <w:rsid w:val="001B1DE9"/>
    <w:rsid w:val="001B229F"/>
    <w:rsid w:val="001B265D"/>
    <w:rsid w:val="001B44A3"/>
    <w:rsid w:val="001B4C73"/>
    <w:rsid w:val="001B54C7"/>
    <w:rsid w:val="001B687C"/>
    <w:rsid w:val="001B79BA"/>
    <w:rsid w:val="001C0084"/>
    <w:rsid w:val="001C2952"/>
    <w:rsid w:val="001C5B20"/>
    <w:rsid w:val="001C63AE"/>
    <w:rsid w:val="001C6AA6"/>
    <w:rsid w:val="001D0160"/>
    <w:rsid w:val="001D25B7"/>
    <w:rsid w:val="001D4D95"/>
    <w:rsid w:val="001D4DDD"/>
    <w:rsid w:val="001D4FF9"/>
    <w:rsid w:val="001D5299"/>
    <w:rsid w:val="001D570C"/>
    <w:rsid w:val="001E3496"/>
    <w:rsid w:val="001E492E"/>
    <w:rsid w:val="001E4BC6"/>
    <w:rsid w:val="001E651C"/>
    <w:rsid w:val="001F0D36"/>
    <w:rsid w:val="001F35CE"/>
    <w:rsid w:val="001F37B9"/>
    <w:rsid w:val="00202D62"/>
    <w:rsid w:val="00213B09"/>
    <w:rsid w:val="002148FC"/>
    <w:rsid w:val="002152B4"/>
    <w:rsid w:val="002165E8"/>
    <w:rsid w:val="00220EEF"/>
    <w:rsid w:val="00223018"/>
    <w:rsid w:val="002269C5"/>
    <w:rsid w:val="002307C4"/>
    <w:rsid w:val="00230A4D"/>
    <w:rsid w:val="0023162E"/>
    <w:rsid w:val="00233881"/>
    <w:rsid w:val="002354B5"/>
    <w:rsid w:val="002511E6"/>
    <w:rsid w:val="002517EA"/>
    <w:rsid w:val="0025305C"/>
    <w:rsid w:val="002545A4"/>
    <w:rsid w:val="00262529"/>
    <w:rsid w:val="00263A02"/>
    <w:rsid w:val="002734B4"/>
    <w:rsid w:val="00273858"/>
    <w:rsid w:val="00275B9E"/>
    <w:rsid w:val="002775BF"/>
    <w:rsid w:val="00280802"/>
    <w:rsid w:val="0028088E"/>
    <w:rsid w:val="002871A0"/>
    <w:rsid w:val="00287A23"/>
    <w:rsid w:val="002A0A34"/>
    <w:rsid w:val="002A0C23"/>
    <w:rsid w:val="002A3A2E"/>
    <w:rsid w:val="002A42D1"/>
    <w:rsid w:val="002A5304"/>
    <w:rsid w:val="002A5F46"/>
    <w:rsid w:val="002A76B4"/>
    <w:rsid w:val="002A7746"/>
    <w:rsid w:val="002B054C"/>
    <w:rsid w:val="002B08DC"/>
    <w:rsid w:val="002B21F0"/>
    <w:rsid w:val="002B2810"/>
    <w:rsid w:val="002B4139"/>
    <w:rsid w:val="002B5D00"/>
    <w:rsid w:val="002C2AE4"/>
    <w:rsid w:val="002C331E"/>
    <w:rsid w:val="002C4741"/>
    <w:rsid w:val="002C51E5"/>
    <w:rsid w:val="002D3458"/>
    <w:rsid w:val="002D368D"/>
    <w:rsid w:val="002E0E58"/>
    <w:rsid w:val="002E1474"/>
    <w:rsid w:val="002E3853"/>
    <w:rsid w:val="002E4369"/>
    <w:rsid w:val="002E53DA"/>
    <w:rsid w:val="002E75B1"/>
    <w:rsid w:val="002F22EF"/>
    <w:rsid w:val="002F28E6"/>
    <w:rsid w:val="002F4097"/>
    <w:rsid w:val="002F703F"/>
    <w:rsid w:val="002F770A"/>
    <w:rsid w:val="003062DF"/>
    <w:rsid w:val="00312803"/>
    <w:rsid w:val="003128DB"/>
    <w:rsid w:val="003140A4"/>
    <w:rsid w:val="00321677"/>
    <w:rsid w:val="00323F3C"/>
    <w:rsid w:val="003263AA"/>
    <w:rsid w:val="00326757"/>
    <w:rsid w:val="00327E02"/>
    <w:rsid w:val="00327E8D"/>
    <w:rsid w:val="003311EB"/>
    <w:rsid w:val="003322AF"/>
    <w:rsid w:val="00333E72"/>
    <w:rsid w:val="003348AC"/>
    <w:rsid w:val="00335A6F"/>
    <w:rsid w:val="00340909"/>
    <w:rsid w:val="00343C64"/>
    <w:rsid w:val="003443A3"/>
    <w:rsid w:val="00344700"/>
    <w:rsid w:val="00347ACD"/>
    <w:rsid w:val="00350D35"/>
    <w:rsid w:val="00351971"/>
    <w:rsid w:val="003539B7"/>
    <w:rsid w:val="00354B51"/>
    <w:rsid w:val="00354D5E"/>
    <w:rsid w:val="00361C86"/>
    <w:rsid w:val="00362637"/>
    <w:rsid w:val="003639E6"/>
    <w:rsid w:val="00364C70"/>
    <w:rsid w:val="003671BD"/>
    <w:rsid w:val="00370AAE"/>
    <w:rsid w:val="0037230A"/>
    <w:rsid w:val="00375B5E"/>
    <w:rsid w:val="003818A2"/>
    <w:rsid w:val="00384BE7"/>
    <w:rsid w:val="003861A7"/>
    <w:rsid w:val="00386A07"/>
    <w:rsid w:val="00386A85"/>
    <w:rsid w:val="00390319"/>
    <w:rsid w:val="00390C51"/>
    <w:rsid w:val="00390D71"/>
    <w:rsid w:val="003A0A0C"/>
    <w:rsid w:val="003A0AF7"/>
    <w:rsid w:val="003A28FF"/>
    <w:rsid w:val="003A2C04"/>
    <w:rsid w:val="003A6B9C"/>
    <w:rsid w:val="003B636B"/>
    <w:rsid w:val="003C0C26"/>
    <w:rsid w:val="003C26E4"/>
    <w:rsid w:val="003C3DDF"/>
    <w:rsid w:val="003C5E3D"/>
    <w:rsid w:val="003C5EDE"/>
    <w:rsid w:val="003D1A7E"/>
    <w:rsid w:val="003D7BB8"/>
    <w:rsid w:val="003E0474"/>
    <w:rsid w:val="003E06FC"/>
    <w:rsid w:val="003E2CB7"/>
    <w:rsid w:val="003E64A7"/>
    <w:rsid w:val="003F20E5"/>
    <w:rsid w:val="003F7C42"/>
    <w:rsid w:val="003F7E0B"/>
    <w:rsid w:val="00401DA2"/>
    <w:rsid w:val="00403098"/>
    <w:rsid w:val="0040507C"/>
    <w:rsid w:val="00416606"/>
    <w:rsid w:val="004178D3"/>
    <w:rsid w:val="0042317F"/>
    <w:rsid w:val="00425051"/>
    <w:rsid w:val="00426D22"/>
    <w:rsid w:val="00435A62"/>
    <w:rsid w:val="004376D8"/>
    <w:rsid w:val="004377EB"/>
    <w:rsid w:val="00442371"/>
    <w:rsid w:val="00442D2E"/>
    <w:rsid w:val="00446349"/>
    <w:rsid w:val="00450580"/>
    <w:rsid w:val="00450EEE"/>
    <w:rsid w:val="004515B6"/>
    <w:rsid w:val="004547D3"/>
    <w:rsid w:val="0046017B"/>
    <w:rsid w:val="00461026"/>
    <w:rsid w:val="00463E33"/>
    <w:rsid w:val="00466858"/>
    <w:rsid w:val="004673F7"/>
    <w:rsid w:val="004717EE"/>
    <w:rsid w:val="00475001"/>
    <w:rsid w:val="00493CC2"/>
    <w:rsid w:val="004A23D5"/>
    <w:rsid w:val="004A2D2E"/>
    <w:rsid w:val="004A541F"/>
    <w:rsid w:val="004A7FE8"/>
    <w:rsid w:val="004B2A4E"/>
    <w:rsid w:val="004B47FB"/>
    <w:rsid w:val="004B5E46"/>
    <w:rsid w:val="004B734C"/>
    <w:rsid w:val="004B7642"/>
    <w:rsid w:val="004C0029"/>
    <w:rsid w:val="004C015C"/>
    <w:rsid w:val="004C0C0F"/>
    <w:rsid w:val="004C13B8"/>
    <w:rsid w:val="004C3EC3"/>
    <w:rsid w:val="004C5379"/>
    <w:rsid w:val="004C7E6D"/>
    <w:rsid w:val="004D0FB4"/>
    <w:rsid w:val="004D1B4B"/>
    <w:rsid w:val="004D506D"/>
    <w:rsid w:val="004D53C9"/>
    <w:rsid w:val="004D651D"/>
    <w:rsid w:val="004D6784"/>
    <w:rsid w:val="004D76C9"/>
    <w:rsid w:val="004E0298"/>
    <w:rsid w:val="004E34D1"/>
    <w:rsid w:val="004E71F6"/>
    <w:rsid w:val="004F31A5"/>
    <w:rsid w:val="004F4A70"/>
    <w:rsid w:val="004F4BDF"/>
    <w:rsid w:val="004F6C4E"/>
    <w:rsid w:val="00500C04"/>
    <w:rsid w:val="00500FED"/>
    <w:rsid w:val="00501888"/>
    <w:rsid w:val="005033FF"/>
    <w:rsid w:val="0050374B"/>
    <w:rsid w:val="005057E9"/>
    <w:rsid w:val="00510031"/>
    <w:rsid w:val="00515136"/>
    <w:rsid w:val="00521EF0"/>
    <w:rsid w:val="00534CDB"/>
    <w:rsid w:val="00535564"/>
    <w:rsid w:val="00535C2E"/>
    <w:rsid w:val="00536122"/>
    <w:rsid w:val="00536893"/>
    <w:rsid w:val="00551919"/>
    <w:rsid w:val="00552DD7"/>
    <w:rsid w:val="0055484B"/>
    <w:rsid w:val="00556CF2"/>
    <w:rsid w:val="00557552"/>
    <w:rsid w:val="00560D3D"/>
    <w:rsid w:val="00561E4A"/>
    <w:rsid w:val="005627E8"/>
    <w:rsid w:val="00563601"/>
    <w:rsid w:val="00563870"/>
    <w:rsid w:val="00564C0A"/>
    <w:rsid w:val="005735CA"/>
    <w:rsid w:val="00574C6F"/>
    <w:rsid w:val="00575A21"/>
    <w:rsid w:val="00575FEF"/>
    <w:rsid w:val="00576F5A"/>
    <w:rsid w:val="00580DAA"/>
    <w:rsid w:val="005818E9"/>
    <w:rsid w:val="0058335D"/>
    <w:rsid w:val="005865B1"/>
    <w:rsid w:val="00587972"/>
    <w:rsid w:val="00587D4E"/>
    <w:rsid w:val="00590E97"/>
    <w:rsid w:val="00591164"/>
    <w:rsid w:val="0059313B"/>
    <w:rsid w:val="00595361"/>
    <w:rsid w:val="00595C81"/>
    <w:rsid w:val="005A05CC"/>
    <w:rsid w:val="005A14A8"/>
    <w:rsid w:val="005A333E"/>
    <w:rsid w:val="005B06D3"/>
    <w:rsid w:val="005B49EB"/>
    <w:rsid w:val="005B6EF7"/>
    <w:rsid w:val="005C291C"/>
    <w:rsid w:val="005D1912"/>
    <w:rsid w:val="005D4AFC"/>
    <w:rsid w:val="005D51AF"/>
    <w:rsid w:val="005D54F3"/>
    <w:rsid w:val="005D5C12"/>
    <w:rsid w:val="005E1522"/>
    <w:rsid w:val="005E26C4"/>
    <w:rsid w:val="005E7AD3"/>
    <w:rsid w:val="005F0319"/>
    <w:rsid w:val="005F4345"/>
    <w:rsid w:val="005F4500"/>
    <w:rsid w:val="00603097"/>
    <w:rsid w:val="00611115"/>
    <w:rsid w:val="0061262D"/>
    <w:rsid w:val="00613208"/>
    <w:rsid w:val="00616972"/>
    <w:rsid w:val="00617E53"/>
    <w:rsid w:val="0062172D"/>
    <w:rsid w:val="00633B2D"/>
    <w:rsid w:val="006409BA"/>
    <w:rsid w:val="006430A5"/>
    <w:rsid w:val="00644746"/>
    <w:rsid w:val="0064621B"/>
    <w:rsid w:val="00646788"/>
    <w:rsid w:val="00647AEC"/>
    <w:rsid w:val="0065255D"/>
    <w:rsid w:val="00654529"/>
    <w:rsid w:val="006602A4"/>
    <w:rsid w:val="00663C3A"/>
    <w:rsid w:val="0066485A"/>
    <w:rsid w:val="006652E8"/>
    <w:rsid w:val="0067010C"/>
    <w:rsid w:val="006704BF"/>
    <w:rsid w:val="00670AE7"/>
    <w:rsid w:val="0067118A"/>
    <w:rsid w:val="00677598"/>
    <w:rsid w:val="0068101B"/>
    <w:rsid w:val="00681F37"/>
    <w:rsid w:val="006910CF"/>
    <w:rsid w:val="00691F27"/>
    <w:rsid w:val="006936E4"/>
    <w:rsid w:val="00697526"/>
    <w:rsid w:val="006A1F2F"/>
    <w:rsid w:val="006A25A3"/>
    <w:rsid w:val="006A6BFE"/>
    <w:rsid w:val="006B2C2D"/>
    <w:rsid w:val="006C083A"/>
    <w:rsid w:val="006C21AD"/>
    <w:rsid w:val="006C4359"/>
    <w:rsid w:val="006C44F9"/>
    <w:rsid w:val="006C6476"/>
    <w:rsid w:val="006D0212"/>
    <w:rsid w:val="006D152B"/>
    <w:rsid w:val="006D23EE"/>
    <w:rsid w:val="006D2766"/>
    <w:rsid w:val="006D3B41"/>
    <w:rsid w:val="006D562B"/>
    <w:rsid w:val="006D7903"/>
    <w:rsid w:val="006E0AF0"/>
    <w:rsid w:val="006E2C2C"/>
    <w:rsid w:val="006E63E2"/>
    <w:rsid w:val="006E6CD8"/>
    <w:rsid w:val="006F0382"/>
    <w:rsid w:val="006F1235"/>
    <w:rsid w:val="006F1A34"/>
    <w:rsid w:val="006F428E"/>
    <w:rsid w:val="006F7291"/>
    <w:rsid w:val="00705974"/>
    <w:rsid w:val="007060DD"/>
    <w:rsid w:val="0071044A"/>
    <w:rsid w:val="00714958"/>
    <w:rsid w:val="00714C77"/>
    <w:rsid w:val="00715B80"/>
    <w:rsid w:val="00716EA5"/>
    <w:rsid w:val="00717DAE"/>
    <w:rsid w:val="00721FB0"/>
    <w:rsid w:val="00722C74"/>
    <w:rsid w:val="00723274"/>
    <w:rsid w:val="00723307"/>
    <w:rsid w:val="0072446A"/>
    <w:rsid w:val="00725186"/>
    <w:rsid w:val="00727BB5"/>
    <w:rsid w:val="00730FA8"/>
    <w:rsid w:val="007337B3"/>
    <w:rsid w:val="00735F94"/>
    <w:rsid w:val="007363E4"/>
    <w:rsid w:val="0073672D"/>
    <w:rsid w:val="00737880"/>
    <w:rsid w:val="007416C1"/>
    <w:rsid w:val="0074474C"/>
    <w:rsid w:val="00754325"/>
    <w:rsid w:val="007544DA"/>
    <w:rsid w:val="00755AAE"/>
    <w:rsid w:val="00755C89"/>
    <w:rsid w:val="007647DF"/>
    <w:rsid w:val="00770600"/>
    <w:rsid w:val="007733C2"/>
    <w:rsid w:val="007738E6"/>
    <w:rsid w:val="007759A9"/>
    <w:rsid w:val="00775F89"/>
    <w:rsid w:val="00780562"/>
    <w:rsid w:val="007815EB"/>
    <w:rsid w:val="007846D7"/>
    <w:rsid w:val="00785A8C"/>
    <w:rsid w:val="00786021"/>
    <w:rsid w:val="00787FEB"/>
    <w:rsid w:val="00787FEE"/>
    <w:rsid w:val="0079057A"/>
    <w:rsid w:val="007923F0"/>
    <w:rsid w:val="007933DC"/>
    <w:rsid w:val="00795A3C"/>
    <w:rsid w:val="00795E1F"/>
    <w:rsid w:val="00796ADB"/>
    <w:rsid w:val="00797C55"/>
    <w:rsid w:val="007A1416"/>
    <w:rsid w:val="007A35FE"/>
    <w:rsid w:val="007A4403"/>
    <w:rsid w:val="007A4BD1"/>
    <w:rsid w:val="007B0319"/>
    <w:rsid w:val="007B2282"/>
    <w:rsid w:val="007B3BA5"/>
    <w:rsid w:val="007B4353"/>
    <w:rsid w:val="007B63B0"/>
    <w:rsid w:val="007B730A"/>
    <w:rsid w:val="007B7BB7"/>
    <w:rsid w:val="007C1332"/>
    <w:rsid w:val="007C2313"/>
    <w:rsid w:val="007C50EC"/>
    <w:rsid w:val="007C5649"/>
    <w:rsid w:val="007C5CCE"/>
    <w:rsid w:val="007D061C"/>
    <w:rsid w:val="007D19F1"/>
    <w:rsid w:val="007D3C3F"/>
    <w:rsid w:val="007D4E98"/>
    <w:rsid w:val="007E01F8"/>
    <w:rsid w:val="007E2830"/>
    <w:rsid w:val="007E4D1F"/>
    <w:rsid w:val="007E682A"/>
    <w:rsid w:val="007F06FD"/>
    <w:rsid w:val="007F263C"/>
    <w:rsid w:val="007F2F09"/>
    <w:rsid w:val="00810D13"/>
    <w:rsid w:val="00811D5A"/>
    <w:rsid w:val="008149CD"/>
    <w:rsid w:val="00815277"/>
    <w:rsid w:val="00820AB0"/>
    <w:rsid w:val="0082678C"/>
    <w:rsid w:val="00826C7E"/>
    <w:rsid w:val="00830C9C"/>
    <w:rsid w:val="00832A3A"/>
    <w:rsid w:val="008364B0"/>
    <w:rsid w:val="0083763A"/>
    <w:rsid w:val="008409AE"/>
    <w:rsid w:val="008446F2"/>
    <w:rsid w:val="00844F8C"/>
    <w:rsid w:val="00850861"/>
    <w:rsid w:val="008512EA"/>
    <w:rsid w:val="00851A85"/>
    <w:rsid w:val="00852289"/>
    <w:rsid w:val="00853A20"/>
    <w:rsid w:val="00855B74"/>
    <w:rsid w:val="00855D86"/>
    <w:rsid w:val="00863157"/>
    <w:rsid w:val="0086571B"/>
    <w:rsid w:val="00866DF6"/>
    <w:rsid w:val="00876C21"/>
    <w:rsid w:val="00877B10"/>
    <w:rsid w:val="00883CF5"/>
    <w:rsid w:val="008853ED"/>
    <w:rsid w:val="00891E96"/>
    <w:rsid w:val="008A5351"/>
    <w:rsid w:val="008A54FA"/>
    <w:rsid w:val="008A589D"/>
    <w:rsid w:val="008A5EA8"/>
    <w:rsid w:val="008A6EDD"/>
    <w:rsid w:val="008B0CBE"/>
    <w:rsid w:val="008B0FF0"/>
    <w:rsid w:val="008B34E2"/>
    <w:rsid w:val="008B575C"/>
    <w:rsid w:val="008C0434"/>
    <w:rsid w:val="008C0AAA"/>
    <w:rsid w:val="008C1BCE"/>
    <w:rsid w:val="008C2310"/>
    <w:rsid w:val="008C2D0B"/>
    <w:rsid w:val="008C4F15"/>
    <w:rsid w:val="008C6205"/>
    <w:rsid w:val="008D410F"/>
    <w:rsid w:val="008D50C2"/>
    <w:rsid w:val="008D7375"/>
    <w:rsid w:val="008D7551"/>
    <w:rsid w:val="008D7603"/>
    <w:rsid w:val="008D784A"/>
    <w:rsid w:val="008E1E2E"/>
    <w:rsid w:val="008E5F60"/>
    <w:rsid w:val="008E7491"/>
    <w:rsid w:val="008F0155"/>
    <w:rsid w:val="008F0955"/>
    <w:rsid w:val="008F27BA"/>
    <w:rsid w:val="009043C4"/>
    <w:rsid w:val="0090785E"/>
    <w:rsid w:val="0090798C"/>
    <w:rsid w:val="00913316"/>
    <w:rsid w:val="00916D2D"/>
    <w:rsid w:val="0091788D"/>
    <w:rsid w:val="0092158C"/>
    <w:rsid w:val="0092396A"/>
    <w:rsid w:val="009240F5"/>
    <w:rsid w:val="009263F5"/>
    <w:rsid w:val="00931453"/>
    <w:rsid w:val="009336C9"/>
    <w:rsid w:val="009356AC"/>
    <w:rsid w:val="0093580E"/>
    <w:rsid w:val="00936552"/>
    <w:rsid w:val="009373E9"/>
    <w:rsid w:val="009453C3"/>
    <w:rsid w:val="009454A4"/>
    <w:rsid w:val="009472E6"/>
    <w:rsid w:val="00950F99"/>
    <w:rsid w:val="00954813"/>
    <w:rsid w:val="00960753"/>
    <w:rsid w:val="00960C5E"/>
    <w:rsid w:val="00962029"/>
    <w:rsid w:val="009625FD"/>
    <w:rsid w:val="00962CB9"/>
    <w:rsid w:val="00965DC8"/>
    <w:rsid w:val="0097434A"/>
    <w:rsid w:val="009757C3"/>
    <w:rsid w:val="009775D1"/>
    <w:rsid w:val="0097778F"/>
    <w:rsid w:val="00977EAD"/>
    <w:rsid w:val="00980D95"/>
    <w:rsid w:val="00981017"/>
    <w:rsid w:val="00982AD4"/>
    <w:rsid w:val="00986003"/>
    <w:rsid w:val="0098722E"/>
    <w:rsid w:val="00987BBC"/>
    <w:rsid w:val="00991007"/>
    <w:rsid w:val="00992372"/>
    <w:rsid w:val="00992705"/>
    <w:rsid w:val="00995FAA"/>
    <w:rsid w:val="0099698C"/>
    <w:rsid w:val="00996D6C"/>
    <w:rsid w:val="00997856"/>
    <w:rsid w:val="009A18CA"/>
    <w:rsid w:val="009A4356"/>
    <w:rsid w:val="009A66D7"/>
    <w:rsid w:val="009B30FD"/>
    <w:rsid w:val="009B3DC0"/>
    <w:rsid w:val="009B4687"/>
    <w:rsid w:val="009B5766"/>
    <w:rsid w:val="009C12CB"/>
    <w:rsid w:val="009C239A"/>
    <w:rsid w:val="009C4E2D"/>
    <w:rsid w:val="009C6D74"/>
    <w:rsid w:val="009C6E21"/>
    <w:rsid w:val="009D0D32"/>
    <w:rsid w:val="009D5B87"/>
    <w:rsid w:val="009D6578"/>
    <w:rsid w:val="009D785D"/>
    <w:rsid w:val="009E171F"/>
    <w:rsid w:val="009E557F"/>
    <w:rsid w:val="009F019C"/>
    <w:rsid w:val="009F2613"/>
    <w:rsid w:val="009F57AC"/>
    <w:rsid w:val="009F5ABE"/>
    <w:rsid w:val="00A0039B"/>
    <w:rsid w:val="00A0309B"/>
    <w:rsid w:val="00A06341"/>
    <w:rsid w:val="00A102BC"/>
    <w:rsid w:val="00A110CA"/>
    <w:rsid w:val="00A1629E"/>
    <w:rsid w:val="00A165F6"/>
    <w:rsid w:val="00A21CB0"/>
    <w:rsid w:val="00A30B13"/>
    <w:rsid w:val="00A34783"/>
    <w:rsid w:val="00A34C07"/>
    <w:rsid w:val="00A4043A"/>
    <w:rsid w:val="00A51102"/>
    <w:rsid w:val="00A51418"/>
    <w:rsid w:val="00A521E1"/>
    <w:rsid w:val="00A55A78"/>
    <w:rsid w:val="00A55B78"/>
    <w:rsid w:val="00A60163"/>
    <w:rsid w:val="00A62F41"/>
    <w:rsid w:val="00A65286"/>
    <w:rsid w:val="00A67F69"/>
    <w:rsid w:val="00A7021A"/>
    <w:rsid w:val="00A70A06"/>
    <w:rsid w:val="00A75CB4"/>
    <w:rsid w:val="00A77789"/>
    <w:rsid w:val="00A77BDF"/>
    <w:rsid w:val="00A8210C"/>
    <w:rsid w:val="00A84254"/>
    <w:rsid w:val="00A92F1C"/>
    <w:rsid w:val="00A934A0"/>
    <w:rsid w:val="00A95B08"/>
    <w:rsid w:val="00A95BEA"/>
    <w:rsid w:val="00AA15A2"/>
    <w:rsid w:val="00AA3877"/>
    <w:rsid w:val="00AB0A3D"/>
    <w:rsid w:val="00AB7A17"/>
    <w:rsid w:val="00AC04D6"/>
    <w:rsid w:val="00AC328E"/>
    <w:rsid w:val="00AC3D0E"/>
    <w:rsid w:val="00AC67D8"/>
    <w:rsid w:val="00AD1A60"/>
    <w:rsid w:val="00AD785D"/>
    <w:rsid w:val="00AE002D"/>
    <w:rsid w:val="00AE202A"/>
    <w:rsid w:val="00AE2736"/>
    <w:rsid w:val="00AE3C5C"/>
    <w:rsid w:val="00AE4050"/>
    <w:rsid w:val="00AF0B1D"/>
    <w:rsid w:val="00AF40A4"/>
    <w:rsid w:val="00AF49E5"/>
    <w:rsid w:val="00AF627D"/>
    <w:rsid w:val="00AF6DAF"/>
    <w:rsid w:val="00B019F2"/>
    <w:rsid w:val="00B01CEF"/>
    <w:rsid w:val="00B02BD9"/>
    <w:rsid w:val="00B04C16"/>
    <w:rsid w:val="00B07363"/>
    <w:rsid w:val="00B12C26"/>
    <w:rsid w:val="00B13B5E"/>
    <w:rsid w:val="00B164A6"/>
    <w:rsid w:val="00B22A6E"/>
    <w:rsid w:val="00B2640A"/>
    <w:rsid w:val="00B2714E"/>
    <w:rsid w:val="00B30F5C"/>
    <w:rsid w:val="00B319F2"/>
    <w:rsid w:val="00B33481"/>
    <w:rsid w:val="00B44ED6"/>
    <w:rsid w:val="00B46FF9"/>
    <w:rsid w:val="00B53F58"/>
    <w:rsid w:val="00B5500F"/>
    <w:rsid w:val="00B57FAA"/>
    <w:rsid w:val="00B6097A"/>
    <w:rsid w:val="00B61010"/>
    <w:rsid w:val="00B702F7"/>
    <w:rsid w:val="00B70C91"/>
    <w:rsid w:val="00B73487"/>
    <w:rsid w:val="00B75FCD"/>
    <w:rsid w:val="00B77B27"/>
    <w:rsid w:val="00B80C47"/>
    <w:rsid w:val="00B82518"/>
    <w:rsid w:val="00B839A4"/>
    <w:rsid w:val="00B908BC"/>
    <w:rsid w:val="00B916C2"/>
    <w:rsid w:val="00B91BEE"/>
    <w:rsid w:val="00B9224E"/>
    <w:rsid w:val="00B946C3"/>
    <w:rsid w:val="00B9680F"/>
    <w:rsid w:val="00B9690E"/>
    <w:rsid w:val="00BA2DCB"/>
    <w:rsid w:val="00BA3B55"/>
    <w:rsid w:val="00BA6936"/>
    <w:rsid w:val="00BB0444"/>
    <w:rsid w:val="00BB18CE"/>
    <w:rsid w:val="00BB368A"/>
    <w:rsid w:val="00BB735E"/>
    <w:rsid w:val="00BC0066"/>
    <w:rsid w:val="00BC0F49"/>
    <w:rsid w:val="00BC10EA"/>
    <w:rsid w:val="00BC2056"/>
    <w:rsid w:val="00BC5A09"/>
    <w:rsid w:val="00BC70CA"/>
    <w:rsid w:val="00BC746C"/>
    <w:rsid w:val="00BD0556"/>
    <w:rsid w:val="00BD28EC"/>
    <w:rsid w:val="00BD40F9"/>
    <w:rsid w:val="00BE0CC6"/>
    <w:rsid w:val="00BE2684"/>
    <w:rsid w:val="00BE6B7D"/>
    <w:rsid w:val="00BE72A9"/>
    <w:rsid w:val="00BF5F49"/>
    <w:rsid w:val="00C0047B"/>
    <w:rsid w:val="00C02383"/>
    <w:rsid w:val="00C04D17"/>
    <w:rsid w:val="00C07E22"/>
    <w:rsid w:val="00C1339C"/>
    <w:rsid w:val="00C1579A"/>
    <w:rsid w:val="00C22B43"/>
    <w:rsid w:val="00C30917"/>
    <w:rsid w:val="00C3238C"/>
    <w:rsid w:val="00C33F1E"/>
    <w:rsid w:val="00C40094"/>
    <w:rsid w:val="00C4086D"/>
    <w:rsid w:val="00C42B8B"/>
    <w:rsid w:val="00C42E1F"/>
    <w:rsid w:val="00C42FCE"/>
    <w:rsid w:val="00C443B5"/>
    <w:rsid w:val="00C46012"/>
    <w:rsid w:val="00C472A6"/>
    <w:rsid w:val="00C47F57"/>
    <w:rsid w:val="00C571F1"/>
    <w:rsid w:val="00C61C57"/>
    <w:rsid w:val="00C645B9"/>
    <w:rsid w:val="00C67713"/>
    <w:rsid w:val="00C7177D"/>
    <w:rsid w:val="00C72BDD"/>
    <w:rsid w:val="00C73777"/>
    <w:rsid w:val="00C73E6F"/>
    <w:rsid w:val="00C74242"/>
    <w:rsid w:val="00C77D85"/>
    <w:rsid w:val="00C858BC"/>
    <w:rsid w:val="00C872B0"/>
    <w:rsid w:val="00C87D29"/>
    <w:rsid w:val="00C95F97"/>
    <w:rsid w:val="00CA069C"/>
    <w:rsid w:val="00CA1A17"/>
    <w:rsid w:val="00CB14BB"/>
    <w:rsid w:val="00CB28FB"/>
    <w:rsid w:val="00CB3AE0"/>
    <w:rsid w:val="00CB3D0A"/>
    <w:rsid w:val="00CB731F"/>
    <w:rsid w:val="00CC272F"/>
    <w:rsid w:val="00CC4CC6"/>
    <w:rsid w:val="00CC567C"/>
    <w:rsid w:val="00CC76D3"/>
    <w:rsid w:val="00CD2354"/>
    <w:rsid w:val="00CD2A99"/>
    <w:rsid w:val="00CD34D3"/>
    <w:rsid w:val="00CD42DE"/>
    <w:rsid w:val="00CD6E2B"/>
    <w:rsid w:val="00CE01C6"/>
    <w:rsid w:val="00CE4CF2"/>
    <w:rsid w:val="00CE5C88"/>
    <w:rsid w:val="00CF3B55"/>
    <w:rsid w:val="00CF694E"/>
    <w:rsid w:val="00D01C76"/>
    <w:rsid w:val="00D04493"/>
    <w:rsid w:val="00D05895"/>
    <w:rsid w:val="00D12AF3"/>
    <w:rsid w:val="00D12F05"/>
    <w:rsid w:val="00D178D6"/>
    <w:rsid w:val="00D1798E"/>
    <w:rsid w:val="00D217F3"/>
    <w:rsid w:val="00D21FA6"/>
    <w:rsid w:val="00D22E73"/>
    <w:rsid w:val="00D2668B"/>
    <w:rsid w:val="00D27898"/>
    <w:rsid w:val="00D34A70"/>
    <w:rsid w:val="00D34C9B"/>
    <w:rsid w:val="00D354C4"/>
    <w:rsid w:val="00D36B02"/>
    <w:rsid w:val="00D36DDD"/>
    <w:rsid w:val="00D37331"/>
    <w:rsid w:val="00D40501"/>
    <w:rsid w:val="00D4068E"/>
    <w:rsid w:val="00D408F6"/>
    <w:rsid w:val="00D44F48"/>
    <w:rsid w:val="00D46125"/>
    <w:rsid w:val="00D47F30"/>
    <w:rsid w:val="00D552C9"/>
    <w:rsid w:val="00D56CDF"/>
    <w:rsid w:val="00D572F3"/>
    <w:rsid w:val="00D65C62"/>
    <w:rsid w:val="00D66BF0"/>
    <w:rsid w:val="00D83F73"/>
    <w:rsid w:val="00D84307"/>
    <w:rsid w:val="00D84B9A"/>
    <w:rsid w:val="00D869A9"/>
    <w:rsid w:val="00D86A5E"/>
    <w:rsid w:val="00D86AC0"/>
    <w:rsid w:val="00D918B6"/>
    <w:rsid w:val="00D91D5B"/>
    <w:rsid w:val="00D9206C"/>
    <w:rsid w:val="00D930C4"/>
    <w:rsid w:val="00D931CC"/>
    <w:rsid w:val="00D936B2"/>
    <w:rsid w:val="00DA4324"/>
    <w:rsid w:val="00DB120F"/>
    <w:rsid w:val="00DB2915"/>
    <w:rsid w:val="00DB293C"/>
    <w:rsid w:val="00DB3709"/>
    <w:rsid w:val="00DB5679"/>
    <w:rsid w:val="00DB5969"/>
    <w:rsid w:val="00DB7866"/>
    <w:rsid w:val="00DB7AC9"/>
    <w:rsid w:val="00DC6207"/>
    <w:rsid w:val="00DC6BA6"/>
    <w:rsid w:val="00DC7A51"/>
    <w:rsid w:val="00DD0457"/>
    <w:rsid w:val="00DD0A72"/>
    <w:rsid w:val="00DD3F13"/>
    <w:rsid w:val="00DE0445"/>
    <w:rsid w:val="00DE1966"/>
    <w:rsid w:val="00DE2C0F"/>
    <w:rsid w:val="00DE5AF9"/>
    <w:rsid w:val="00DF56FE"/>
    <w:rsid w:val="00E023E2"/>
    <w:rsid w:val="00E039E5"/>
    <w:rsid w:val="00E051A2"/>
    <w:rsid w:val="00E07199"/>
    <w:rsid w:val="00E10160"/>
    <w:rsid w:val="00E13CA7"/>
    <w:rsid w:val="00E155FE"/>
    <w:rsid w:val="00E15873"/>
    <w:rsid w:val="00E177B8"/>
    <w:rsid w:val="00E2032B"/>
    <w:rsid w:val="00E23C25"/>
    <w:rsid w:val="00E249F1"/>
    <w:rsid w:val="00E24DDE"/>
    <w:rsid w:val="00E25223"/>
    <w:rsid w:val="00E30BBD"/>
    <w:rsid w:val="00E31AA8"/>
    <w:rsid w:val="00E3523F"/>
    <w:rsid w:val="00E365CE"/>
    <w:rsid w:val="00E3706E"/>
    <w:rsid w:val="00E4623E"/>
    <w:rsid w:val="00E464AB"/>
    <w:rsid w:val="00E4670F"/>
    <w:rsid w:val="00E51675"/>
    <w:rsid w:val="00E52A44"/>
    <w:rsid w:val="00E54B85"/>
    <w:rsid w:val="00E62A91"/>
    <w:rsid w:val="00E65385"/>
    <w:rsid w:val="00E71FCF"/>
    <w:rsid w:val="00E7353C"/>
    <w:rsid w:val="00E74FE9"/>
    <w:rsid w:val="00E76070"/>
    <w:rsid w:val="00E81B96"/>
    <w:rsid w:val="00E82098"/>
    <w:rsid w:val="00E8606B"/>
    <w:rsid w:val="00E936E7"/>
    <w:rsid w:val="00EB14AE"/>
    <w:rsid w:val="00EB5A4D"/>
    <w:rsid w:val="00EB79C1"/>
    <w:rsid w:val="00EC06BF"/>
    <w:rsid w:val="00EC0826"/>
    <w:rsid w:val="00EC28F4"/>
    <w:rsid w:val="00EC62BB"/>
    <w:rsid w:val="00EC6954"/>
    <w:rsid w:val="00ED1F33"/>
    <w:rsid w:val="00ED36AD"/>
    <w:rsid w:val="00ED579D"/>
    <w:rsid w:val="00EE0BB0"/>
    <w:rsid w:val="00EE2DD3"/>
    <w:rsid w:val="00EE6776"/>
    <w:rsid w:val="00EE7BDC"/>
    <w:rsid w:val="00EF20E1"/>
    <w:rsid w:val="00EF2AD3"/>
    <w:rsid w:val="00EF3AF8"/>
    <w:rsid w:val="00EF3E49"/>
    <w:rsid w:val="00EF6717"/>
    <w:rsid w:val="00EF6D9C"/>
    <w:rsid w:val="00F013C3"/>
    <w:rsid w:val="00F02552"/>
    <w:rsid w:val="00F06FE4"/>
    <w:rsid w:val="00F07BD1"/>
    <w:rsid w:val="00F10B58"/>
    <w:rsid w:val="00F129E0"/>
    <w:rsid w:val="00F13C88"/>
    <w:rsid w:val="00F13FF3"/>
    <w:rsid w:val="00F146B6"/>
    <w:rsid w:val="00F14A53"/>
    <w:rsid w:val="00F14F96"/>
    <w:rsid w:val="00F159C2"/>
    <w:rsid w:val="00F17316"/>
    <w:rsid w:val="00F1756B"/>
    <w:rsid w:val="00F22DDD"/>
    <w:rsid w:val="00F26E5E"/>
    <w:rsid w:val="00F26EDA"/>
    <w:rsid w:val="00F27CAF"/>
    <w:rsid w:val="00F3108B"/>
    <w:rsid w:val="00F332A5"/>
    <w:rsid w:val="00F3450B"/>
    <w:rsid w:val="00F35D1D"/>
    <w:rsid w:val="00F37CDA"/>
    <w:rsid w:val="00F41978"/>
    <w:rsid w:val="00F450B9"/>
    <w:rsid w:val="00F542C8"/>
    <w:rsid w:val="00F57ECA"/>
    <w:rsid w:val="00F6008C"/>
    <w:rsid w:val="00F600E9"/>
    <w:rsid w:val="00F6409C"/>
    <w:rsid w:val="00F65057"/>
    <w:rsid w:val="00F66F60"/>
    <w:rsid w:val="00F6737F"/>
    <w:rsid w:val="00F70DB4"/>
    <w:rsid w:val="00F722D5"/>
    <w:rsid w:val="00F77BF5"/>
    <w:rsid w:val="00F812C0"/>
    <w:rsid w:val="00F818C2"/>
    <w:rsid w:val="00F8610F"/>
    <w:rsid w:val="00F86745"/>
    <w:rsid w:val="00F9062E"/>
    <w:rsid w:val="00F90997"/>
    <w:rsid w:val="00F9197B"/>
    <w:rsid w:val="00F94DEF"/>
    <w:rsid w:val="00F95EAD"/>
    <w:rsid w:val="00F969B5"/>
    <w:rsid w:val="00FA7221"/>
    <w:rsid w:val="00FB1473"/>
    <w:rsid w:val="00FB1EB6"/>
    <w:rsid w:val="00FB33F9"/>
    <w:rsid w:val="00FB4AC2"/>
    <w:rsid w:val="00FB576A"/>
    <w:rsid w:val="00FB5C95"/>
    <w:rsid w:val="00FB63A0"/>
    <w:rsid w:val="00FC18B2"/>
    <w:rsid w:val="00FC1BF4"/>
    <w:rsid w:val="00FC44B7"/>
    <w:rsid w:val="00FC5C78"/>
    <w:rsid w:val="00FD3189"/>
    <w:rsid w:val="00FD77DB"/>
    <w:rsid w:val="00FD7AE9"/>
    <w:rsid w:val="00FE2063"/>
    <w:rsid w:val="00FE39AE"/>
    <w:rsid w:val="00FE6994"/>
    <w:rsid w:val="00FF11B3"/>
    <w:rsid w:val="00FF7025"/>
    <w:rsid w:val="00FF70CB"/>
    <w:rsid w:val="00FF739E"/>
    <w:rsid w:val="00FF74F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59745F1-D663-45B5-A726-AF4717D5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795E1F"/>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795E1F"/>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795E1F"/>
    <w:rPr>
      <w:vertAlign w:val="superscript"/>
    </w:rPr>
  </w:style>
  <w:style w:type="paragraph" w:customStyle="1" w:styleId="CharCharCharChar">
    <w:name w:val="Char Char Char Char"/>
    <w:aliases w:val="Char2"/>
    <w:basedOn w:val="Parasts"/>
    <w:next w:val="Parasts"/>
    <w:link w:val="Vresatsauce"/>
    <w:uiPriority w:val="99"/>
    <w:rsid w:val="00795E1F"/>
    <w:pPr>
      <w:widowControl/>
      <w:spacing w:after="160" w:line="240" w:lineRule="exact"/>
      <w:jc w:val="both"/>
    </w:pPr>
    <w:rPr>
      <w:vertAlign w:val="superscript"/>
    </w:rPr>
  </w:style>
  <w:style w:type="paragraph" w:customStyle="1" w:styleId="Default">
    <w:name w:val="Default"/>
    <w:rsid w:val="00795E1F"/>
    <w:pPr>
      <w:autoSpaceDE w:val="0"/>
      <w:autoSpaceDN w:val="0"/>
      <w:adjustRightInd w:val="0"/>
    </w:pPr>
    <w:rPr>
      <w:rFonts w:eastAsiaTheme="minorHAnsi"/>
      <w:color w:val="000000"/>
      <w:lang w:eastAsia="en-US"/>
      <w14:ligatures w14:val="standardContextual"/>
    </w:rPr>
  </w:style>
  <w:style w:type="character" w:customStyle="1" w:styleId="Bodytext5NotItalic">
    <w:name w:val="Body text (5) + Not Italic"/>
    <w:basedOn w:val="Noklusjumarindkopasfonts"/>
    <w:rsid w:val="00795E1F"/>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styleId="Prskatjums">
    <w:name w:val="Revision"/>
    <w:hidden/>
    <w:uiPriority w:val="99"/>
    <w:semiHidden/>
    <w:rsid w:val="00F3450B"/>
  </w:style>
  <w:style w:type="character" w:styleId="Komentraatsauce">
    <w:name w:val="annotation reference"/>
    <w:basedOn w:val="Noklusjumarindkopasfonts"/>
    <w:uiPriority w:val="99"/>
    <w:semiHidden/>
    <w:unhideWhenUsed/>
    <w:rsid w:val="00BC0066"/>
    <w:rPr>
      <w:sz w:val="16"/>
      <w:szCs w:val="16"/>
    </w:rPr>
  </w:style>
  <w:style w:type="paragraph" w:styleId="Komentrateksts">
    <w:name w:val="annotation text"/>
    <w:basedOn w:val="Parasts"/>
    <w:link w:val="KomentratekstsRakstz"/>
    <w:uiPriority w:val="99"/>
    <w:unhideWhenUsed/>
    <w:rsid w:val="00BC006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C0066"/>
    <w:rPr>
      <w:sz w:val="20"/>
      <w:szCs w:val="20"/>
    </w:rPr>
  </w:style>
  <w:style w:type="paragraph" w:styleId="Komentratma">
    <w:name w:val="annotation subject"/>
    <w:basedOn w:val="Komentrateksts"/>
    <w:next w:val="Komentrateksts"/>
    <w:link w:val="KomentratmaRakstz"/>
    <w:uiPriority w:val="99"/>
    <w:semiHidden/>
    <w:unhideWhenUsed/>
    <w:rsid w:val="00BC0066"/>
    <w:rPr>
      <w:b/>
      <w:bCs/>
    </w:rPr>
  </w:style>
  <w:style w:type="character" w:customStyle="1" w:styleId="KomentratmaRakstz">
    <w:name w:val="Komentāra tēma Rakstz."/>
    <w:basedOn w:val="KomentratekstsRakstz"/>
    <w:link w:val="Komentratma"/>
    <w:uiPriority w:val="99"/>
    <w:semiHidden/>
    <w:rsid w:val="00BC0066"/>
    <w:rPr>
      <w:b/>
      <w:bCs/>
      <w:sz w:val="20"/>
      <w:szCs w:val="20"/>
    </w:rPr>
  </w:style>
  <w:style w:type="paragraph" w:styleId="Sarakstarindkopa">
    <w:name w:val="List Paragraph"/>
    <w:basedOn w:val="Parasts"/>
    <w:uiPriority w:val="34"/>
    <w:qFormat/>
    <w:rsid w:val="00BA6936"/>
    <w:pPr>
      <w:ind w:left="720"/>
      <w:contextualSpacing/>
    </w:pPr>
  </w:style>
  <w:style w:type="paragraph" w:styleId="Paraststmeklis">
    <w:name w:val="Normal (Web)"/>
    <w:basedOn w:val="Parasts"/>
    <w:uiPriority w:val="99"/>
    <w:semiHidden/>
    <w:unhideWhenUsed/>
    <w:rsid w:val="004717EE"/>
  </w:style>
  <w:style w:type="character" w:styleId="Izmantotahipersaite">
    <w:name w:val="FollowedHyperlink"/>
    <w:basedOn w:val="Noklusjumarindkopasfonts"/>
    <w:uiPriority w:val="99"/>
    <w:semiHidden/>
    <w:unhideWhenUsed/>
    <w:rsid w:val="00E051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5/848/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kd.gov.lv/lv/media/3750/download?attachment" TargetMode="External"/><Relationship Id="rId1" Type="http://schemas.openxmlformats.org/officeDocument/2006/relationships/hyperlink" Target="https://likumi.lv/ta/id/214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8338</Words>
  <Characters>4753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Marika Mitrone</cp:lastModifiedBy>
  <cp:revision>4</cp:revision>
  <cp:lastPrinted>2025-09-23T06:47:00Z</cp:lastPrinted>
  <dcterms:created xsi:type="dcterms:W3CDTF">2025-11-04T08:56:00Z</dcterms:created>
  <dcterms:modified xsi:type="dcterms:W3CDTF">2025-11-14T10:25:00Z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