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0FF9" w14:textId="2B9EC8BA" w:rsidR="00CC052C" w:rsidRPr="001218AD" w:rsidRDefault="00746395" w:rsidP="009D295A">
      <w:pPr>
        <w:spacing w:after="0" w:line="240" w:lineRule="auto"/>
        <w:jc w:val="center"/>
        <w:rPr>
          <w:rFonts w:ascii="Times New Roman" w:hAnsi="Times New Roman" w:cs="Times New Roman"/>
          <w:b/>
          <w:bCs/>
          <w:lang w:val="ru-RU"/>
        </w:rPr>
      </w:pPr>
      <w:r>
        <w:rPr>
          <w:noProof/>
        </w:rPr>
        <w:drawing>
          <wp:anchor distT="0" distB="0" distL="114300" distR="114300" simplePos="0" relativeHeight="251660288" behindDoc="1" locked="1" layoutInCell="1" allowOverlap="1" wp14:anchorId="3489F881" wp14:editId="13B0ED23">
            <wp:simplePos x="0" y="0"/>
            <wp:positionH relativeFrom="page">
              <wp:align>right</wp:align>
            </wp:positionH>
            <wp:positionV relativeFrom="paragraph">
              <wp:posOffset>-720090</wp:posOffset>
            </wp:positionV>
            <wp:extent cx="7564120" cy="10673715"/>
            <wp:effectExtent l="0" t="0" r="0" b="0"/>
            <wp:wrapNone/>
            <wp:docPr id="1137561379" name="Picture 5" descr="A white and blue background with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61379" name="Picture 5" descr="A white and blue background with squar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64120" cy="10673715"/>
                    </a:xfrm>
                    <a:prstGeom prst="rect">
                      <a:avLst/>
                    </a:prstGeom>
                  </pic:spPr>
                </pic:pic>
              </a:graphicData>
            </a:graphic>
            <wp14:sizeRelH relativeFrom="margin">
              <wp14:pctWidth>0</wp14:pctWidth>
            </wp14:sizeRelH>
            <wp14:sizeRelV relativeFrom="margin">
              <wp14:pctHeight>0</wp14:pctHeight>
            </wp14:sizeRelV>
          </wp:anchor>
        </w:drawing>
      </w:r>
    </w:p>
    <w:p w14:paraId="62C6DB7F" w14:textId="4B0D9A51" w:rsidR="00CC052C" w:rsidRPr="001218AD" w:rsidRDefault="00CC052C" w:rsidP="009D295A">
      <w:pPr>
        <w:spacing w:after="0" w:line="240" w:lineRule="auto"/>
        <w:rPr>
          <w:rFonts w:ascii="Times New Roman" w:hAnsi="Times New Roman" w:cs="Times New Roman"/>
        </w:rPr>
      </w:pPr>
    </w:p>
    <w:p w14:paraId="7556E8F8" w14:textId="77777777" w:rsidR="00CC052C" w:rsidRPr="001218AD" w:rsidRDefault="00CC052C" w:rsidP="009D295A">
      <w:pPr>
        <w:spacing w:after="0" w:line="240" w:lineRule="auto"/>
        <w:rPr>
          <w:rFonts w:ascii="Times New Roman" w:hAnsi="Times New Roman" w:cs="Times New Roman"/>
        </w:rPr>
      </w:pPr>
    </w:p>
    <w:p w14:paraId="51A16FD1" w14:textId="22D1D6B5" w:rsidR="00CC052C" w:rsidRPr="001218AD" w:rsidRDefault="00CC052C" w:rsidP="009D295A">
      <w:pPr>
        <w:spacing w:after="0" w:line="240" w:lineRule="auto"/>
        <w:rPr>
          <w:rFonts w:ascii="Times New Roman" w:hAnsi="Times New Roman" w:cs="Times New Roman"/>
        </w:rPr>
      </w:pPr>
    </w:p>
    <w:p w14:paraId="227B7DA9" w14:textId="77777777" w:rsidR="00CC052C" w:rsidRPr="001218AD" w:rsidRDefault="00CC052C" w:rsidP="009D295A">
      <w:pPr>
        <w:spacing w:after="0" w:line="240" w:lineRule="auto"/>
        <w:rPr>
          <w:rFonts w:ascii="Times New Roman" w:hAnsi="Times New Roman" w:cs="Times New Roman"/>
        </w:rPr>
      </w:pPr>
    </w:p>
    <w:p w14:paraId="1E5CECF8" w14:textId="77777777" w:rsidR="00CC052C" w:rsidRPr="001218AD" w:rsidRDefault="00CC052C" w:rsidP="009D295A">
      <w:pPr>
        <w:spacing w:after="0" w:line="240" w:lineRule="auto"/>
        <w:rPr>
          <w:rFonts w:ascii="Times New Roman" w:hAnsi="Times New Roman" w:cs="Times New Roman"/>
        </w:rPr>
      </w:pPr>
    </w:p>
    <w:p w14:paraId="6C781715" w14:textId="77777777" w:rsidR="00CC052C" w:rsidRPr="001218AD" w:rsidRDefault="00CC052C" w:rsidP="009D295A">
      <w:pPr>
        <w:spacing w:after="0" w:line="240" w:lineRule="auto"/>
        <w:rPr>
          <w:rFonts w:ascii="Times New Roman" w:hAnsi="Times New Roman" w:cs="Times New Roman"/>
        </w:rPr>
      </w:pPr>
    </w:p>
    <w:p w14:paraId="4F82D782" w14:textId="77777777" w:rsidR="00CC052C" w:rsidRPr="001218AD" w:rsidRDefault="00CC052C" w:rsidP="009D295A">
      <w:pPr>
        <w:spacing w:after="0" w:line="240" w:lineRule="auto"/>
        <w:jc w:val="center"/>
        <w:rPr>
          <w:rFonts w:ascii="Times New Roman" w:hAnsi="Times New Roman" w:cs="Times New Roman"/>
          <w:b/>
          <w:bCs/>
        </w:rPr>
      </w:pPr>
    </w:p>
    <w:p w14:paraId="6332E34E" w14:textId="77777777" w:rsidR="001B316F" w:rsidRDefault="001B316F" w:rsidP="009D295A">
      <w:pPr>
        <w:spacing w:after="0" w:line="240" w:lineRule="auto"/>
        <w:jc w:val="center"/>
        <w:rPr>
          <w:rFonts w:ascii="Times New Roman" w:hAnsi="Times New Roman" w:cs="Times New Roman"/>
          <w:b/>
          <w:bCs/>
        </w:rPr>
      </w:pPr>
    </w:p>
    <w:p w14:paraId="6E4BF03C" w14:textId="77777777" w:rsidR="001B316F" w:rsidRDefault="001B316F" w:rsidP="009D295A">
      <w:pPr>
        <w:spacing w:after="0" w:line="240" w:lineRule="auto"/>
        <w:jc w:val="center"/>
        <w:rPr>
          <w:rFonts w:ascii="Times New Roman" w:hAnsi="Times New Roman" w:cs="Times New Roman"/>
          <w:b/>
          <w:bCs/>
        </w:rPr>
      </w:pPr>
    </w:p>
    <w:p w14:paraId="6CADA8DA" w14:textId="77777777" w:rsidR="001B316F" w:rsidRDefault="001B316F" w:rsidP="009D295A">
      <w:pPr>
        <w:spacing w:after="0" w:line="240" w:lineRule="auto"/>
        <w:jc w:val="center"/>
        <w:rPr>
          <w:rFonts w:ascii="Times New Roman" w:hAnsi="Times New Roman" w:cs="Times New Roman"/>
          <w:b/>
          <w:bCs/>
        </w:rPr>
      </w:pPr>
    </w:p>
    <w:p w14:paraId="21933788" w14:textId="7A4457D8" w:rsidR="001B316F" w:rsidRDefault="001B316F" w:rsidP="009D295A">
      <w:pPr>
        <w:spacing w:after="0" w:line="240" w:lineRule="auto"/>
        <w:jc w:val="center"/>
        <w:rPr>
          <w:rFonts w:ascii="Times New Roman" w:hAnsi="Times New Roman" w:cs="Times New Roman"/>
          <w:b/>
          <w:bCs/>
        </w:rPr>
      </w:pPr>
    </w:p>
    <w:p w14:paraId="6FB680FE" w14:textId="568DE872" w:rsidR="001B316F" w:rsidRDefault="001B316F" w:rsidP="009D295A">
      <w:pPr>
        <w:spacing w:after="0" w:line="240" w:lineRule="auto"/>
        <w:jc w:val="center"/>
        <w:rPr>
          <w:rFonts w:ascii="Times New Roman" w:hAnsi="Times New Roman" w:cs="Times New Roman"/>
          <w:b/>
          <w:bCs/>
        </w:rPr>
      </w:pPr>
    </w:p>
    <w:p w14:paraId="1A0C030D" w14:textId="1D1B50BB" w:rsidR="001B316F" w:rsidRDefault="00363F1C" w:rsidP="009D295A">
      <w:pPr>
        <w:spacing w:after="0" w:line="24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36343A28" wp14:editId="790AB678">
                <wp:simplePos x="0" y="0"/>
                <wp:positionH relativeFrom="column">
                  <wp:posOffset>-87914</wp:posOffset>
                </wp:positionH>
                <wp:positionV relativeFrom="page">
                  <wp:posOffset>3151762</wp:posOffset>
                </wp:positionV>
                <wp:extent cx="5612860" cy="1594884"/>
                <wp:effectExtent l="0" t="0" r="26035" b="24765"/>
                <wp:wrapNone/>
                <wp:docPr id="762818346" name="Text Box 6"/>
                <wp:cNvGraphicFramePr/>
                <a:graphic xmlns:a="http://schemas.openxmlformats.org/drawingml/2006/main">
                  <a:graphicData uri="http://schemas.microsoft.com/office/word/2010/wordprocessingShape">
                    <wps:wsp>
                      <wps:cNvSpPr txBox="1"/>
                      <wps:spPr>
                        <a:xfrm>
                          <a:off x="0" y="0"/>
                          <a:ext cx="5612860" cy="1594884"/>
                        </a:xfrm>
                        <a:prstGeom prst="rect">
                          <a:avLst/>
                        </a:prstGeom>
                        <a:solidFill>
                          <a:schemeClr val="lt1"/>
                        </a:solidFill>
                        <a:ln w="6350">
                          <a:solidFill>
                            <a:schemeClr val="bg1"/>
                          </a:solidFill>
                        </a:ln>
                      </wps:spPr>
                      <wps:txbx>
                        <w:txbxContent>
                          <w:p w14:paraId="01929CAE" w14:textId="55ECA0F8"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ZAUDĒJUMU PIEDZIŅAS,</w:t>
                            </w:r>
                          </w:p>
                          <w:p w14:paraId="70916D84" w14:textId="34E57451"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MAKSĀTNESPĒJAS LIKUMA 72.</w:t>
                            </w:r>
                            <w:r w:rsidR="000C4293">
                              <w:rPr>
                                <w:rFonts w:ascii="Times New Roman" w:hAnsi="Times New Roman" w:cs="Times New Roman"/>
                                <w:b/>
                                <w:bCs/>
                                <w:sz w:val="40"/>
                                <w:szCs w:val="40"/>
                                <w:vertAlign w:val="superscript"/>
                              </w:rPr>
                              <w:t>1</w:t>
                            </w:r>
                            <w:r w:rsidRPr="009C4552">
                              <w:rPr>
                                <w:rFonts w:ascii="Times New Roman" w:hAnsi="Times New Roman" w:cs="Times New Roman"/>
                                <w:b/>
                                <w:bCs/>
                                <w:sz w:val="40"/>
                                <w:szCs w:val="40"/>
                              </w:rPr>
                              <w:t> PANTA UN</w:t>
                            </w:r>
                          </w:p>
                          <w:p w14:paraId="16234489" w14:textId="734127C7"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DARĪJUMU APSTRĪDĒŠANAS</w:t>
                            </w:r>
                          </w:p>
                          <w:p w14:paraId="62090A38" w14:textId="259FE1A0"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PRASĪBU EFEKTIVITĀTE</w:t>
                            </w:r>
                          </w:p>
                          <w:p w14:paraId="21CB6531" w14:textId="77777777" w:rsidR="00746395" w:rsidRDefault="00746395" w:rsidP="009C45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43A28" id="_x0000_t202" coordsize="21600,21600" o:spt="202" path="m,l,21600r21600,l21600,xe">
                <v:stroke joinstyle="miter"/>
                <v:path gradientshapeok="t" o:connecttype="rect"/>
              </v:shapetype>
              <v:shape id="Text Box 6" o:spid="_x0000_s1026" type="#_x0000_t202" style="position:absolute;left:0;text-align:left;margin-left:-6.9pt;margin-top:248.15pt;width:441.95pt;height:1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" fillcolor="white [3201]" strokecolor="white [3212]" strokeweight=".5pt">
                <v:textbox>
                  <w:txbxContent>
                    <w:p w14:paraId="01929CAE" w14:textId="55ECA0F8"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ZAUDĒJUMU PIEDZIŅAS,</w:t>
                      </w:r>
                    </w:p>
                    <w:p w14:paraId="70916D84" w14:textId="34E57451"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MAKSĀTNESPĒJAS LIKUMA 72.</w:t>
                      </w:r>
                      <w:r w:rsidR="000C4293">
                        <w:rPr>
                          <w:rFonts w:ascii="Times New Roman" w:hAnsi="Times New Roman" w:cs="Times New Roman"/>
                          <w:b/>
                          <w:bCs/>
                          <w:sz w:val="40"/>
                          <w:szCs w:val="40"/>
                          <w:vertAlign w:val="superscript"/>
                        </w:rPr>
                        <w:t>1</w:t>
                      </w:r>
                      <w:r w:rsidRPr="009C4552">
                        <w:rPr>
                          <w:rFonts w:ascii="Times New Roman" w:hAnsi="Times New Roman" w:cs="Times New Roman"/>
                          <w:b/>
                          <w:bCs/>
                          <w:sz w:val="40"/>
                          <w:szCs w:val="40"/>
                        </w:rPr>
                        <w:t> PANTA UN</w:t>
                      </w:r>
                    </w:p>
                    <w:p w14:paraId="16234489" w14:textId="734127C7"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DARĪJUMU APSTRĪDĒŠANAS</w:t>
                      </w:r>
                    </w:p>
                    <w:p w14:paraId="62090A38" w14:textId="259FE1A0" w:rsidR="009C4552" w:rsidRPr="009C4552" w:rsidRDefault="009C4552" w:rsidP="009C4552">
                      <w:pPr>
                        <w:spacing w:after="0"/>
                        <w:jc w:val="center"/>
                        <w:rPr>
                          <w:rFonts w:ascii="Times New Roman" w:hAnsi="Times New Roman" w:cs="Times New Roman"/>
                          <w:sz w:val="40"/>
                          <w:szCs w:val="40"/>
                        </w:rPr>
                      </w:pPr>
                      <w:r w:rsidRPr="009C4552">
                        <w:rPr>
                          <w:rFonts w:ascii="Times New Roman" w:hAnsi="Times New Roman" w:cs="Times New Roman"/>
                          <w:b/>
                          <w:bCs/>
                          <w:sz w:val="40"/>
                          <w:szCs w:val="40"/>
                        </w:rPr>
                        <w:t>PRASĪBU EFEKTIVITĀTE</w:t>
                      </w:r>
                    </w:p>
                    <w:p w14:paraId="21CB6531" w14:textId="77777777" w:rsidR="00746395" w:rsidRDefault="00746395" w:rsidP="009C4552">
                      <w:pPr>
                        <w:jc w:val="center"/>
                      </w:pPr>
                    </w:p>
                  </w:txbxContent>
                </v:textbox>
                <w10:wrap anchory="page"/>
              </v:shape>
            </w:pict>
          </mc:Fallback>
        </mc:AlternateContent>
      </w:r>
    </w:p>
    <w:p w14:paraId="2CC10768" w14:textId="68FCC05E" w:rsidR="001B316F" w:rsidRDefault="001B316F" w:rsidP="009D295A">
      <w:pPr>
        <w:spacing w:after="0" w:line="240" w:lineRule="auto"/>
        <w:jc w:val="center"/>
        <w:rPr>
          <w:rFonts w:ascii="Times New Roman" w:hAnsi="Times New Roman" w:cs="Times New Roman"/>
          <w:b/>
          <w:bCs/>
        </w:rPr>
      </w:pPr>
    </w:p>
    <w:p w14:paraId="07346AE9" w14:textId="0CEEE732" w:rsidR="001B316F" w:rsidRDefault="001B316F" w:rsidP="009D295A">
      <w:pPr>
        <w:spacing w:after="0" w:line="240" w:lineRule="auto"/>
        <w:jc w:val="center"/>
        <w:rPr>
          <w:rFonts w:ascii="Times New Roman" w:hAnsi="Times New Roman" w:cs="Times New Roman"/>
          <w:b/>
          <w:bCs/>
        </w:rPr>
      </w:pPr>
    </w:p>
    <w:p w14:paraId="7BBFA800" w14:textId="291E7778" w:rsidR="001B316F" w:rsidRDefault="001B316F" w:rsidP="009D295A">
      <w:pPr>
        <w:spacing w:after="0" w:line="240" w:lineRule="auto"/>
        <w:jc w:val="center"/>
        <w:rPr>
          <w:rFonts w:ascii="Times New Roman" w:hAnsi="Times New Roman" w:cs="Times New Roman"/>
          <w:b/>
          <w:bCs/>
        </w:rPr>
      </w:pPr>
    </w:p>
    <w:p w14:paraId="5E47C50E" w14:textId="67DC1982" w:rsidR="001B316F" w:rsidRDefault="001B316F" w:rsidP="009D295A">
      <w:pPr>
        <w:spacing w:after="0" w:line="240" w:lineRule="auto"/>
        <w:jc w:val="center"/>
        <w:rPr>
          <w:rFonts w:ascii="Times New Roman" w:hAnsi="Times New Roman" w:cs="Times New Roman"/>
          <w:b/>
          <w:bCs/>
        </w:rPr>
      </w:pPr>
    </w:p>
    <w:p w14:paraId="24C82A1D" w14:textId="335D5290" w:rsidR="001B316F" w:rsidRDefault="001B316F" w:rsidP="009D295A">
      <w:pPr>
        <w:spacing w:after="0" w:line="240" w:lineRule="auto"/>
        <w:jc w:val="center"/>
        <w:rPr>
          <w:rFonts w:ascii="Times New Roman" w:hAnsi="Times New Roman" w:cs="Times New Roman"/>
          <w:b/>
          <w:bCs/>
        </w:rPr>
      </w:pPr>
    </w:p>
    <w:p w14:paraId="7648B0BA" w14:textId="446F9666" w:rsidR="001B316F" w:rsidRDefault="001B316F" w:rsidP="009D295A">
      <w:pPr>
        <w:spacing w:after="0" w:line="240" w:lineRule="auto"/>
        <w:jc w:val="center"/>
        <w:rPr>
          <w:rFonts w:ascii="Times New Roman" w:hAnsi="Times New Roman" w:cs="Times New Roman"/>
          <w:b/>
          <w:bCs/>
        </w:rPr>
      </w:pPr>
    </w:p>
    <w:p w14:paraId="628197B6" w14:textId="2D38AABE" w:rsidR="001B316F" w:rsidRDefault="001B316F" w:rsidP="009D295A">
      <w:pPr>
        <w:spacing w:after="0" w:line="240" w:lineRule="auto"/>
        <w:jc w:val="center"/>
        <w:rPr>
          <w:rFonts w:ascii="Times New Roman" w:hAnsi="Times New Roman" w:cs="Times New Roman"/>
          <w:b/>
          <w:bCs/>
        </w:rPr>
      </w:pPr>
    </w:p>
    <w:p w14:paraId="1FC0BF51" w14:textId="5B9ACB83" w:rsidR="001B316F" w:rsidRDefault="001B316F" w:rsidP="009D295A">
      <w:pPr>
        <w:spacing w:after="0" w:line="240" w:lineRule="auto"/>
        <w:jc w:val="center"/>
        <w:rPr>
          <w:rFonts w:ascii="Times New Roman" w:hAnsi="Times New Roman" w:cs="Times New Roman"/>
          <w:b/>
          <w:bCs/>
        </w:rPr>
      </w:pPr>
    </w:p>
    <w:p w14:paraId="633D5774" w14:textId="07022849" w:rsidR="001B316F" w:rsidRDefault="007902BF" w:rsidP="009D295A">
      <w:pPr>
        <w:spacing w:after="0" w:line="24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71CF747E" wp14:editId="193A3B6A">
                <wp:simplePos x="0" y="0"/>
                <wp:positionH relativeFrom="column">
                  <wp:posOffset>1137285</wp:posOffset>
                </wp:positionH>
                <wp:positionV relativeFrom="paragraph">
                  <wp:posOffset>120447</wp:posOffset>
                </wp:positionV>
                <wp:extent cx="3131820" cy="19050"/>
                <wp:effectExtent l="0" t="0" r="30480" b="19050"/>
                <wp:wrapNone/>
                <wp:docPr id="1304672550" name="Straight Connector 9"/>
                <wp:cNvGraphicFramePr/>
                <a:graphic xmlns:a="http://schemas.openxmlformats.org/drawingml/2006/main">
                  <a:graphicData uri="http://schemas.microsoft.com/office/word/2010/wordprocessingShape">
                    <wps:wsp>
                      <wps:cNvCnPr/>
                      <wps:spPr>
                        <a:xfrm flipV="1">
                          <a:off x="0" y="0"/>
                          <a:ext cx="313182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9AC24"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5pt,9.5pt" to="336.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" strokecolor="black [3200]" strokeweight="1.5pt">
                <v:stroke joinstyle="miter"/>
              </v:line>
            </w:pict>
          </mc:Fallback>
        </mc:AlternateContent>
      </w:r>
    </w:p>
    <w:p w14:paraId="0489F486" w14:textId="21925CE3" w:rsidR="001B316F" w:rsidRDefault="007902BF" w:rsidP="009D295A">
      <w:pPr>
        <w:spacing w:after="0" w:line="24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13DEBF8D" wp14:editId="6A961848">
                <wp:simplePos x="0" y="0"/>
                <wp:positionH relativeFrom="column">
                  <wp:posOffset>1204595</wp:posOffset>
                </wp:positionH>
                <wp:positionV relativeFrom="paragraph">
                  <wp:posOffset>98615</wp:posOffset>
                </wp:positionV>
                <wp:extent cx="2752928" cy="700391"/>
                <wp:effectExtent l="0" t="0" r="28575" b="24130"/>
                <wp:wrapNone/>
                <wp:docPr id="7190542" name="Text Box 10"/>
                <wp:cNvGraphicFramePr/>
                <a:graphic xmlns:a="http://schemas.openxmlformats.org/drawingml/2006/main">
                  <a:graphicData uri="http://schemas.microsoft.com/office/word/2010/wordprocessingShape">
                    <wps:wsp>
                      <wps:cNvSpPr txBox="1"/>
                      <wps:spPr>
                        <a:xfrm>
                          <a:off x="0" y="0"/>
                          <a:ext cx="2752928" cy="700391"/>
                        </a:xfrm>
                        <a:prstGeom prst="rect">
                          <a:avLst/>
                        </a:prstGeom>
                        <a:solidFill>
                          <a:schemeClr val="lt1"/>
                        </a:solidFill>
                        <a:ln w="6350">
                          <a:solidFill>
                            <a:schemeClr val="bg1"/>
                          </a:solidFill>
                        </a:ln>
                      </wps:spPr>
                      <wps:txbx>
                        <w:txbxContent>
                          <w:p w14:paraId="15FCF8C2" w14:textId="1F888D4A" w:rsidR="007902BF" w:rsidRPr="007902BF" w:rsidRDefault="000C4293" w:rsidP="007902BF">
                            <w:pPr>
                              <w:jc w:val="center"/>
                              <w:rPr>
                                <w:rFonts w:ascii="Times New Roman" w:hAnsi="Times New Roman" w:cs="Times New Roman"/>
                                <w:sz w:val="40"/>
                                <w:szCs w:val="40"/>
                              </w:rPr>
                            </w:pPr>
                            <w:r>
                              <w:rPr>
                                <w:rFonts w:ascii="Times New Roman" w:hAnsi="Times New Roman" w:cs="Times New Roman"/>
                                <w:sz w:val="40"/>
                                <w:szCs w:val="40"/>
                              </w:rPr>
                              <w:t>j</w:t>
                            </w:r>
                            <w:r w:rsidR="007902BF" w:rsidRPr="007902BF">
                              <w:rPr>
                                <w:rFonts w:ascii="Times New Roman" w:hAnsi="Times New Roman" w:cs="Times New Roman"/>
                                <w:sz w:val="40"/>
                                <w:szCs w:val="40"/>
                              </w:rPr>
                              <w:t>uridiskās personas maksātnespējas procesā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EBF8D" id="Text Box 10" o:spid="_x0000_s1027" type="#_x0000_t202" style="position:absolute;left:0;text-align:left;margin-left:94.85pt;margin-top:7.75pt;width:216.75pt;height:55.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" fillcolor="white [3201]" strokecolor="white [3212]" strokeweight=".5pt">
                <v:textbox>
                  <w:txbxContent>
                    <w:p w14:paraId="15FCF8C2" w14:textId="1F888D4A" w:rsidR="007902BF" w:rsidRPr="007902BF" w:rsidRDefault="000C4293" w:rsidP="007902BF">
                      <w:pPr>
                        <w:jc w:val="center"/>
                        <w:rPr>
                          <w:rFonts w:ascii="Times New Roman" w:hAnsi="Times New Roman" w:cs="Times New Roman"/>
                          <w:sz w:val="40"/>
                          <w:szCs w:val="40"/>
                        </w:rPr>
                      </w:pPr>
                      <w:r>
                        <w:rPr>
                          <w:rFonts w:ascii="Times New Roman" w:hAnsi="Times New Roman" w:cs="Times New Roman"/>
                          <w:sz w:val="40"/>
                          <w:szCs w:val="40"/>
                        </w:rPr>
                        <w:t>j</w:t>
                      </w:r>
                      <w:r w:rsidR="007902BF" w:rsidRPr="007902BF">
                        <w:rPr>
                          <w:rFonts w:ascii="Times New Roman" w:hAnsi="Times New Roman" w:cs="Times New Roman"/>
                          <w:sz w:val="40"/>
                          <w:szCs w:val="40"/>
                        </w:rPr>
                        <w:t>uridiskās personas maksātnespējas procesā</w:t>
                      </w:r>
                    </w:p>
                  </w:txbxContent>
                </v:textbox>
              </v:shape>
            </w:pict>
          </mc:Fallback>
        </mc:AlternateContent>
      </w:r>
    </w:p>
    <w:p w14:paraId="47068463" w14:textId="2F893B36" w:rsidR="001B316F" w:rsidRDefault="001B316F" w:rsidP="009D295A">
      <w:pPr>
        <w:spacing w:after="0" w:line="240" w:lineRule="auto"/>
        <w:jc w:val="center"/>
        <w:rPr>
          <w:rFonts w:ascii="Times New Roman" w:hAnsi="Times New Roman" w:cs="Times New Roman"/>
          <w:b/>
          <w:bCs/>
        </w:rPr>
      </w:pPr>
    </w:p>
    <w:p w14:paraId="20360277" w14:textId="73C4283E" w:rsidR="001B316F" w:rsidRDefault="001B316F" w:rsidP="009D295A">
      <w:pPr>
        <w:spacing w:after="0" w:line="240" w:lineRule="auto"/>
        <w:jc w:val="center"/>
        <w:rPr>
          <w:rFonts w:ascii="Times New Roman" w:hAnsi="Times New Roman" w:cs="Times New Roman"/>
          <w:b/>
          <w:bCs/>
        </w:rPr>
      </w:pPr>
    </w:p>
    <w:p w14:paraId="29E89688" w14:textId="1DE6DC0B" w:rsidR="001B316F" w:rsidRDefault="001B316F" w:rsidP="009D295A">
      <w:pPr>
        <w:spacing w:after="0" w:line="240" w:lineRule="auto"/>
        <w:jc w:val="center"/>
        <w:rPr>
          <w:rFonts w:ascii="Times New Roman" w:hAnsi="Times New Roman" w:cs="Times New Roman"/>
          <w:b/>
          <w:bCs/>
        </w:rPr>
      </w:pPr>
    </w:p>
    <w:p w14:paraId="6D941410" w14:textId="3C8D901C" w:rsidR="001B316F" w:rsidRDefault="001B316F" w:rsidP="009D295A">
      <w:pPr>
        <w:spacing w:after="0" w:line="240" w:lineRule="auto"/>
        <w:jc w:val="center"/>
        <w:rPr>
          <w:rFonts w:ascii="Times New Roman" w:hAnsi="Times New Roman" w:cs="Times New Roman"/>
          <w:b/>
          <w:bCs/>
        </w:rPr>
      </w:pPr>
    </w:p>
    <w:p w14:paraId="0152874F" w14:textId="77777777" w:rsidR="001B316F" w:rsidRDefault="001B316F" w:rsidP="009D295A">
      <w:pPr>
        <w:spacing w:after="0" w:line="240" w:lineRule="auto"/>
        <w:jc w:val="center"/>
        <w:rPr>
          <w:rFonts w:ascii="Times New Roman" w:hAnsi="Times New Roman" w:cs="Times New Roman"/>
          <w:b/>
          <w:bCs/>
        </w:rPr>
      </w:pPr>
    </w:p>
    <w:p w14:paraId="325DA84A" w14:textId="7F52D068" w:rsidR="00CC052C" w:rsidRPr="00F36B06" w:rsidRDefault="00CC052C" w:rsidP="009D295A">
      <w:pPr>
        <w:tabs>
          <w:tab w:val="left" w:pos="4512"/>
        </w:tabs>
        <w:spacing w:after="0" w:line="240" w:lineRule="auto"/>
        <w:rPr>
          <w:rFonts w:ascii="Times New Roman" w:hAnsi="Times New Roman" w:cs="Times New Roman"/>
          <w:b/>
          <w:bCs/>
        </w:rPr>
      </w:pPr>
    </w:p>
    <w:p w14:paraId="7D685E2A" w14:textId="00A4222D" w:rsidR="00BF30AA" w:rsidRPr="00F36B06" w:rsidRDefault="00BF30AA" w:rsidP="009D295A">
      <w:pPr>
        <w:spacing w:after="0" w:line="240" w:lineRule="auto"/>
        <w:rPr>
          <w:rFonts w:ascii="Times New Roman" w:hAnsi="Times New Roman" w:cs="Times New Roman"/>
        </w:rPr>
      </w:pPr>
      <w:r w:rsidRPr="00F36B06">
        <w:rPr>
          <w:rFonts w:ascii="Times New Roman" w:hAnsi="Times New Roman" w:cs="Times New Roman"/>
        </w:rPr>
        <w:br w:type="page"/>
      </w:r>
    </w:p>
    <w:sdt>
      <w:sdtPr>
        <w:rPr>
          <w:rFonts w:asciiTheme="minorHAnsi" w:eastAsiaTheme="minorHAnsi" w:hAnsiTheme="minorHAnsi" w:cstheme="minorBidi"/>
          <w:color w:val="auto"/>
          <w:kern w:val="2"/>
          <w:sz w:val="24"/>
          <w:szCs w:val="24"/>
          <w:lang w:eastAsia="en-US"/>
          <w14:ligatures w14:val="standardContextual"/>
        </w:rPr>
        <w:id w:val="-2065085620"/>
        <w:docPartObj>
          <w:docPartGallery w:val="Table of Contents"/>
          <w:docPartUnique/>
        </w:docPartObj>
      </w:sdtPr>
      <w:sdtEndPr>
        <w:rPr>
          <w:b/>
          <w:bCs/>
        </w:rPr>
      </w:sdtEndPr>
      <w:sdtContent>
        <w:p w14:paraId="7AC8D4B8" w14:textId="6E312D41" w:rsidR="00AD2EA7" w:rsidRPr="00F36B06" w:rsidRDefault="007902BF" w:rsidP="001218AD">
          <w:pPr>
            <w:pStyle w:val="TOCHeading"/>
            <w:spacing w:before="0" w:line="240" w:lineRule="auto"/>
            <w:jc w:val="center"/>
            <w:rPr>
              <w:rFonts w:ascii="Times New Roman" w:hAnsi="Times New Roman" w:cs="Times New Roman"/>
              <w:b/>
              <w:bCs/>
              <w:color w:val="auto"/>
              <w:sz w:val="24"/>
              <w:szCs w:val="24"/>
            </w:rPr>
          </w:pPr>
          <w:r>
            <w:rPr>
              <w:noProof/>
            </w:rPr>
            <mc:AlternateContent>
              <mc:Choice Requires="wps">
                <w:drawing>
                  <wp:anchor distT="0" distB="0" distL="114300" distR="114300" simplePos="0" relativeHeight="251662336" behindDoc="0" locked="0" layoutInCell="1" allowOverlap="1" wp14:anchorId="2F2D1D2F" wp14:editId="2F83CE70">
                    <wp:simplePos x="0" y="0"/>
                    <wp:positionH relativeFrom="margin">
                      <wp:posOffset>-635</wp:posOffset>
                    </wp:positionH>
                    <wp:positionV relativeFrom="paragraph">
                      <wp:posOffset>-30912</wp:posOffset>
                    </wp:positionV>
                    <wp:extent cx="6021421" cy="311285"/>
                    <wp:effectExtent l="0" t="0" r="17780" b="12700"/>
                    <wp:wrapNone/>
                    <wp:docPr id="54403558" name="Text Box 8"/>
                    <wp:cNvGraphicFramePr/>
                    <a:graphic xmlns:a="http://schemas.openxmlformats.org/drawingml/2006/main">
                      <a:graphicData uri="http://schemas.microsoft.com/office/word/2010/wordprocessingShape">
                        <wps:wsp>
                          <wps:cNvSpPr txBox="1"/>
                          <wps:spPr>
                            <a:xfrm>
                              <a:off x="0" y="0"/>
                              <a:ext cx="6021421" cy="311285"/>
                            </a:xfrm>
                            <a:prstGeom prst="rect">
                              <a:avLst/>
                            </a:prstGeom>
                            <a:solidFill>
                              <a:srgbClr val="B3E3FA"/>
                            </a:solidFill>
                            <a:ln w="6350">
                              <a:solidFill>
                                <a:schemeClr val="bg1"/>
                              </a:solidFill>
                            </a:ln>
                          </wps:spPr>
                          <wps:txbx>
                            <w:txbxContent>
                              <w:p w14:paraId="61B49491" w14:textId="58AD1F8E" w:rsidR="0000797B" w:rsidRPr="007902BF" w:rsidRDefault="0000797B" w:rsidP="007902BF">
                                <w:pPr>
                                  <w:jc w:val="center"/>
                                  <w:rPr>
                                    <w:rFonts w:ascii="Times New Roman" w:hAnsi="Times New Roman" w:cs="Times New Roman"/>
                                    <w:b/>
                                    <w:bCs/>
                                    <w:sz w:val="28"/>
                                    <w:szCs w:val="28"/>
                                  </w:rPr>
                                </w:pPr>
                                <w:r w:rsidRPr="007902BF">
                                  <w:rPr>
                                    <w:rFonts w:ascii="Times New Roman" w:hAnsi="Times New Roman" w:cs="Times New Roman"/>
                                    <w:b/>
                                    <w:bCs/>
                                    <w:sz w:val="28"/>
                                    <w:szCs w:val="28"/>
                                  </w:rPr>
                                  <w:t>Saturs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1D2F" id="Text Box 8" o:spid="_x0000_s1028" type="#_x0000_t202" style="position:absolute;left:0;text-align:left;margin-left:-.05pt;margin-top:-2.45pt;width:474.15pt;height: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" fillcolor="#b3e3fa" strokecolor="white [3212]" strokeweight=".5pt">
                    <v:textbox>
                      <w:txbxContent>
                        <w:p w14:paraId="61B49491" w14:textId="58AD1F8E" w:rsidR="0000797B" w:rsidRPr="007902BF" w:rsidRDefault="0000797B" w:rsidP="007902BF">
                          <w:pPr>
                            <w:jc w:val="center"/>
                            <w:rPr>
                              <w:rFonts w:ascii="Times New Roman" w:hAnsi="Times New Roman" w:cs="Times New Roman"/>
                              <w:b/>
                              <w:bCs/>
                              <w:sz w:val="28"/>
                              <w:szCs w:val="28"/>
                            </w:rPr>
                          </w:pPr>
                          <w:r w:rsidRPr="007902BF">
                            <w:rPr>
                              <w:rFonts w:ascii="Times New Roman" w:hAnsi="Times New Roman" w:cs="Times New Roman"/>
                              <w:b/>
                              <w:bCs/>
                              <w:sz w:val="28"/>
                              <w:szCs w:val="28"/>
                            </w:rPr>
                            <w:t>Saturs</w:t>
                          </w:r>
                        </w:p>
                      </w:txbxContent>
                    </v:textbox>
                    <w10:wrap anchorx="margin"/>
                  </v:shape>
                </w:pict>
              </mc:Fallback>
            </mc:AlternateContent>
          </w:r>
        </w:p>
        <w:p w14:paraId="4A016357" w14:textId="66F51B4D" w:rsidR="001218AD" w:rsidRPr="00F36B06" w:rsidRDefault="001218AD" w:rsidP="001218AD">
          <w:pPr>
            <w:spacing w:after="0" w:line="240" w:lineRule="auto"/>
            <w:rPr>
              <w:lang w:eastAsia="lv-LV"/>
            </w:rPr>
          </w:pPr>
        </w:p>
        <w:p w14:paraId="49F357D0" w14:textId="620321D1" w:rsidR="000712B8" w:rsidRPr="006D4322" w:rsidRDefault="00AD2EA7" w:rsidP="006D4322">
          <w:pPr>
            <w:pStyle w:val="TOC1"/>
            <w:rPr>
              <w:rFonts w:eastAsiaTheme="minorEastAsia"/>
              <w:b w:val="0"/>
              <w:bCs w:val="0"/>
              <w:lang w:eastAsia="lv-LV"/>
            </w:rPr>
          </w:pPr>
          <w:r w:rsidRPr="00F36B06">
            <w:fldChar w:fldCharType="begin"/>
          </w:r>
          <w:r w:rsidRPr="00F36B06">
            <w:instrText xml:space="preserve"> TOC \o "1-3" \h \z \u </w:instrText>
          </w:r>
          <w:r w:rsidRPr="00F36B06">
            <w:fldChar w:fldCharType="separate"/>
          </w:r>
          <w:hyperlink w:anchor="_Toc198649018" w:history="1">
            <w:r w:rsidR="000712B8" w:rsidRPr="006D4322">
              <w:rPr>
                <w:rStyle w:val="Hyperlink"/>
                <w:b w:val="0"/>
                <w:bCs w:val="0"/>
              </w:rPr>
              <w:t>Ievads</w:t>
            </w:r>
            <w:r w:rsidR="000712B8" w:rsidRPr="006D4322">
              <w:rPr>
                <w:b w:val="0"/>
                <w:bCs w:val="0"/>
                <w:webHidden/>
              </w:rPr>
              <w:tab/>
            </w:r>
            <w:r w:rsidR="000712B8" w:rsidRPr="006D4322">
              <w:rPr>
                <w:b w:val="0"/>
                <w:bCs w:val="0"/>
                <w:webHidden/>
              </w:rPr>
              <w:fldChar w:fldCharType="begin"/>
            </w:r>
            <w:r w:rsidR="000712B8" w:rsidRPr="006D4322">
              <w:rPr>
                <w:b w:val="0"/>
                <w:bCs w:val="0"/>
                <w:webHidden/>
              </w:rPr>
              <w:instrText xml:space="preserve"> PAGEREF _Toc198649018 \h </w:instrText>
            </w:r>
            <w:r w:rsidR="000712B8" w:rsidRPr="006D4322">
              <w:rPr>
                <w:b w:val="0"/>
                <w:bCs w:val="0"/>
                <w:webHidden/>
              </w:rPr>
            </w:r>
            <w:r w:rsidR="000712B8" w:rsidRPr="006D4322">
              <w:rPr>
                <w:b w:val="0"/>
                <w:bCs w:val="0"/>
                <w:webHidden/>
              </w:rPr>
              <w:fldChar w:fldCharType="separate"/>
            </w:r>
            <w:r w:rsidR="000712B8" w:rsidRPr="006D4322">
              <w:rPr>
                <w:b w:val="0"/>
                <w:bCs w:val="0"/>
                <w:webHidden/>
              </w:rPr>
              <w:t>3</w:t>
            </w:r>
            <w:r w:rsidR="000712B8" w:rsidRPr="006D4322">
              <w:rPr>
                <w:b w:val="0"/>
                <w:bCs w:val="0"/>
                <w:webHidden/>
              </w:rPr>
              <w:fldChar w:fldCharType="end"/>
            </w:r>
          </w:hyperlink>
        </w:p>
        <w:p w14:paraId="177C93E4" w14:textId="0249C2BE" w:rsidR="000712B8" w:rsidRPr="006D4322" w:rsidRDefault="000712B8" w:rsidP="006D4322">
          <w:pPr>
            <w:pStyle w:val="TOC1"/>
            <w:rPr>
              <w:rFonts w:eastAsiaTheme="minorEastAsia"/>
              <w:b w:val="0"/>
              <w:bCs w:val="0"/>
              <w:lang w:eastAsia="lv-LV"/>
            </w:rPr>
          </w:pPr>
          <w:hyperlink w:anchor="_Toc198649019" w:history="1">
            <w:r w:rsidRPr="006D4322">
              <w:rPr>
                <w:rStyle w:val="Hyperlink"/>
                <w:b w:val="0"/>
                <w:bCs w:val="0"/>
              </w:rPr>
              <w:t>Zaudējumu piedziņas, Maksātnespējas likuma 72.</w:t>
            </w:r>
            <w:r w:rsidRPr="006D4322">
              <w:rPr>
                <w:rStyle w:val="Hyperlink"/>
                <w:b w:val="0"/>
                <w:bCs w:val="0"/>
                <w:vertAlign w:val="superscript"/>
              </w:rPr>
              <w:t>1</w:t>
            </w:r>
            <w:r w:rsidRPr="006D4322">
              <w:rPr>
                <w:rStyle w:val="Hyperlink"/>
                <w:b w:val="0"/>
                <w:bCs w:val="0"/>
              </w:rPr>
              <w:t> panta un darījumu apstrīdēšanas prasības juridiskās personas maksātnespējas procesā</w:t>
            </w:r>
            <w:r w:rsidRPr="006D4322">
              <w:rPr>
                <w:b w:val="0"/>
                <w:bCs w:val="0"/>
                <w:webHidden/>
              </w:rPr>
              <w:tab/>
            </w:r>
            <w:r w:rsidRPr="006D4322">
              <w:rPr>
                <w:b w:val="0"/>
                <w:bCs w:val="0"/>
                <w:webHidden/>
              </w:rPr>
              <w:fldChar w:fldCharType="begin"/>
            </w:r>
            <w:r w:rsidRPr="006D4322">
              <w:rPr>
                <w:b w:val="0"/>
                <w:bCs w:val="0"/>
                <w:webHidden/>
              </w:rPr>
              <w:instrText xml:space="preserve"> PAGEREF _Toc198649019 \h </w:instrText>
            </w:r>
            <w:r w:rsidRPr="006D4322">
              <w:rPr>
                <w:b w:val="0"/>
                <w:bCs w:val="0"/>
                <w:webHidden/>
              </w:rPr>
            </w:r>
            <w:r w:rsidRPr="006D4322">
              <w:rPr>
                <w:b w:val="0"/>
                <w:bCs w:val="0"/>
                <w:webHidden/>
              </w:rPr>
              <w:fldChar w:fldCharType="separate"/>
            </w:r>
            <w:r w:rsidRPr="006D4322">
              <w:rPr>
                <w:b w:val="0"/>
                <w:bCs w:val="0"/>
                <w:webHidden/>
              </w:rPr>
              <w:t>4</w:t>
            </w:r>
            <w:r w:rsidRPr="006D4322">
              <w:rPr>
                <w:b w:val="0"/>
                <w:bCs w:val="0"/>
                <w:webHidden/>
              </w:rPr>
              <w:fldChar w:fldCharType="end"/>
            </w:r>
          </w:hyperlink>
        </w:p>
        <w:p w14:paraId="214256B0" w14:textId="0B41BE3A" w:rsidR="000712B8" w:rsidRPr="006D4322" w:rsidRDefault="000712B8">
          <w:pPr>
            <w:pStyle w:val="TOC2"/>
            <w:tabs>
              <w:tab w:val="right" w:leader="dot" w:pos="9344"/>
            </w:tabs>
            <w:rPr>
              <w:rFonts w:ascii="Times New Roman" w:hAnsi="Times New Roman" w:cs="Times New Roman"/>
              <w:noProof/>
            </w:rPr>
          </w:pPr>
          <w:hyperlink w:anchor="_Toc198649020" w:history="1">
            <w:r w:rsidRPr="006D4322">
              <w:rPr>
                <w:rStyle w:val="Hyperlink"/>
                <w:rFonts w:ascii="Times New Roman" w:hAnsi="Times New Roman" w:cs="Times New Roman"/>
                <w:noProof/>
              </w:rPr>
              <w:t>1. Zaudējumu piedziņas prasības</w:t>
            </w:r>
            <w:r w:rsidRPr="006D4322">
              <w:rPr>
                <w:rFonts w:ascii="Times New Roman" w:hAnsi="Times New Roman" w:cs="Times New Roman"/>
                <w:noProof/>
                <w:webHidden/>
              </w:rPr>
              <w:tab/>
            </w:r>
            <w:r w:rsidRPr="006D4322">
              <w:rPr>
                <w:rFonts w:ascii="Times New Roman" w:hAnsi="Times New Roman" w:cs="Times New Roman"/>
                <w:noProof/>
                <w:webHidden/>
              </w:rPr>
              <w:fldChar w:fldCharType="begin"/>
            </w:r>
            <w:r w:rsidRPr="006D4322">
              <w:rPr>
                <w:rFonts w:ascii="Times New Roman" w:hAnsi="Times New Roman" w:cs="Times New Roman"/>
                <w:noProof/>
                <w:webHidden/>
              </w:rPr>
              <w:instrText xml:space="preserve"> PAGEREF _Toc198649020 \h </w:instrText>
            </w:r>
            <w:r w:rsidRPr="006D4322">
              <w:rPr>
                <w:rFonts w:ascii="Times New Roman" w:hAnsi="Times New Roman" w:cs="Times New Roman"/>
                <w:noProof/>
                <w:webHidden/>
              </w:rPr>
            </w:r>
            <w:r w:rsidRPr="006D4322">
              <w:rPr>
                <w:rFonts w:ascii="Times New Roman" w:hAnsi="Times New Roman" w:cs="Times New Roman"/>
                <w:noProof/>
                <w:webHidden/>
              </w:rPr>
              <w:fldChar w:fldCharType="separate"/>
            </w:r>
            <w:r w:rsidRPr="006D4322">
              <w:rPr>
                <w:rFonts w:ascii="Times New Roman" w:hAnsi="Times New Roman" w:cs="Times New Roman"/>
                <w:noProof/>
                <w:webHidden/>
              </w:rPr>
              <w:t>14</w:t>
            </w:r>
            <w:r w:rsidRPr="006D4322">
              <w:rPr>
                <w:rFonts w:ascii="Times New Roman" w:hAnsi="Times New Roman" w:cs="Times New Roman"/>
                <w:noProof/>
                <w:webHidden/>
              </w:rPr>
              <w:fldChar w:fldCharType="end"/>
            </w:r>
          </w:hyperlink>
        </w:p>
        <w:p w14:paraId="09047502" w14:textId="7A4F6922" w:rsidR="000712B8" w:rsidRPr="006D4322" w:rsidRDefault="000712B8">
          <w:pPr>
            <w:pStyle w:val="TOC2"/>
            <w:tabs>
              <w:tab w:val="right" w:leader="dot" w:pos="9344"/>
            </w:tabs>
            <w:rPr>
              <w:rFonts w:ascii="Times New Roman" w:hAnsi="Times New Roman" w:cs="Times New Roman"/>
              <w:noProof/>
            </w:rPr>
          </w:pPr>
          <w:hyperlink w:anchor="_Toc198649021" w:history="1">
            <w:r w:rsidRPr="006D4322">
              <w:rPr>
                <w:rStyle w:val="Hyperlink"/>
                <w:rFonts w:ascii="Times New Roman" w:hAnsi="Times New Roman" w:cs="Times New Roman"/>
                <w:noProof/>
              </w:rPr>
              <w:t>2. Prasības, kas celtas, pamatojoties uz Maksātnespējas likuma 72.</w:t>
            </w:r>
            <w:r w:rsidRPr="006D4322">
              <w:rPr>
                <w:rStyle w:val="Hyperlink"/>
                <w:rFonts w:ascii="Times New Roman" w:hAnsi="Times New Roman" w:cs="Times New Roman"/>
                <w:noProof/>
                <w:vertAlign w:val="superscript"/>
              </w:rPr>
              <w:t>1</w:t>
            </w:r>
            <w:r w:rsidRPr="006D4322">
              <w:rPr>
                <w:rStyle w:val="Hyperlink"/>
                <w:rFonts w:ascii="Times New Roman" w:hAnsi="Times New Roman" w:cs="Times New Roman"/>
                <w:noProof/>
              </w:rPr>
              <w:t> pantu</w:t>
            </w:r>
            <w:r w:rsidRPr="006D4322">
              <w:rPr>
                <w:rFonts w:ascii="Times New Roman" w:hAnsi="Times New Roman" w:cs="Times New Roman"/>
                <w:noProof/>
                <w:webHidden/>
              </w:rPr>
              <w:tab/>
            </w:r>
            <w:r w:rsidRPr="006D4322">
              <w:rPr>
                <w:rFonts w:ascii="Times New Roman" w:hAnsi="Times New Roman" w:cs="Times New Roman"/>
                <w:noProof/>
                <w:webHidden/>
              </w:rPr>
              <w:fldChar w:fldCharType="begin"/>
            </w:r>
            <w:r w:rsidRPr="006D4322">
              <w:rPr>
                <w:rFonts w:ascii="Times New Roman" w:hAnsi="Times New Roman" w:cs="Times New Roman"/>
                <w:noProof/>
                <w:webHidden/>
              </w:rPr>
              <w:instrText xml:space="preserve"> PAGEREF _Toc198649021 \h </w:instrText>
            </w:r>
            <w:r w:rsidRPr="006D4322">
              <w:rPr>
                <w:rFonts w:ascii="Times New Roman" w:hAnsi="Times New Roman" w:cs="Times New Roman"/>
                <w:noProof/>
                <w:webHidden/>
              </w:rPr>
            </w:r>
            <w:r w:rsidRPr="006D4322">
              <w:rPr>
                <w:rFonts w:ascii="Times New Roman" w:hAnsi="Times New Roman" w:cs="Times New Roman"/>
                <w:noProof/>
                <w:webHidden/>
              </w:rPr>
              <w:fldChar w:fldCharType="separate"/>
            </w:r>
            <w:r w:rsidRPr="006D4322">
              <w:rPr>
                <w:rFonts w:ascii="Times New Roman" w:hAnsi="Times New Roman" w:cs="Times New Roman"/>
                <w:noProof/>
                <w:webHidden/>
              </w:rPr>
              <w:t>17</w:t>
            </w:r>
            <w:r w:rsidRPr="006D4322">
              <w:rPr>
                <w:rFonts w:ascii="Times New Roman" w:hAnsi="Times New Roman" w:cs="Times New Roman"/>
                <w:noProof/>
                <w:webHidden/>
              </w:rPr>
              <w:fldChar w:fldCharType="end"/>
            </w:r>
          </w:hyperlink>
        </w:p>
        <w:p w14:paraId="0B0983C1" w14:textId="3DF0A4E1" w:rsidR="000712B8" w:rsidRPr="006D4322" w:rsidRDefault="000712B8">
          <w:pPr>
            <w:pStyle w:val="TOC2"/>
            <w:tabs>
              <w:tab w:val="right" w:leader="dot" w:pos="9344"/>
            </w:tabs>
            <w:rPr>
              <w:rFonts w:ascii="Times New Roman" w:hAnsi="Times New Roman" w:cs="Times New Roman"/>
              <w:noProof/>
            </w:rPr>
          </w:pPr>
          <w:hyperlink w:anchor="_Toc198649022" w:history="1">
            <w:r w:rsidRPr="006D4322">
              <w:rPr>
                <w:rStyle w:val="Hyperlink"/>
                <w:rFonts w:ascii="Times New Roman" w:hAnsi="Times New Roman" w:cs="Times New Roman"/>
                <w:noProof/>
              </w:rPr>
              <w:t>3. Darījumu apstrīdēšanas prasības</w:t>
            </w:r>
            <w:r w:rsidRPr="006D4322">
              <w:rPr>
                <w:rFonts w:ascii="Times New Roman" w:hAnsi="Times New Roman" w:cs="Times New Roman"/>
                <w:noProof/>
                <w:webHidden/>
              </w:rPr>
              <w:tab/>
            </w:r>
            <w:r w:rsidRPr="006D4322">
              <w:rPr>
                <w:rFonts w:ascii="Times New Roman" w:hAnsi="Times New Roman" w:cs="Times New Roman"/>
                <w:noProof/>
                <w:webHidden/>
              </w:rPr>
              <w:fldChar w:fldCharType="begin"/>
            </w:r>
            <w:r w:rsidRPr="006D4322">
              <w:rPr>
                <w:rFonts w:ascii="Times New Roman" w:hAnsi="Times New Roman" w:cs="Times New Roman"/>
                <w:noProof/>
                <w:webHidden/>
              </w:rPr>
              <w:instrText xml:space="preserve"> PAGEREF _Toc198649022 \h </w:instrText>
            </w:r>
            <w:r w:rsidRPr="006D4322">
              <w:rPr>
                <w:rFonts w:ascii="Times New Roman" w:hAnsi="Times New Roman" w:cs="Times New Roman"/>
                <w:noProof/>
                <w:webHidden/>
              </w:rPr>
            </w:r>
            <w:r w:rsidRPr="006D4322">
              <w:rPr>
                <w:rFonts w:ascii="Times New Roman" w:hAnsi="Times New Roman" w:cs="Times New Roman"/>
                <w:noProof/>
                <w:webHidden/>
              </w:rPr>
              <w:fldChar w:fldCharType="separate"/>
            </w:r>
            <w:r w:rsidRPr="006D4322">
              <w:rPr>
                <w:rFonts w:ascii="Times New Roman" w:hAnsi="Times New Roman" w:cs="Times New Roman"/>
                <w:noProof/>
                <w:webHidden/>
              </w:rPr>
              <w:t>20</w:t>
            </w:r>
            <w:r w:rsidRPr="006D4322">
              <w:rPr>
                <w:rFonts w:ascii="Times New Roman" w:hAnsi="Times New Roman" w:cs="Times New Roman"/>
                <w:noProof/>
                <w:webHidden/>
              </w:rPr>
              <w:fldChar w:fldCharType="end"/>
            </w:r>
          </w:hyperlink>
        </w:p>
        <w:p w14:paraId="0710352B" w14:textId="22F15067" w:rsidR="000712B8" w:rsidRPr="006D4322" w:rsidRDefault="000712B8" w:rsidP="006D4322">
          <w:pPr>
            <w:pStyle w:val="TOC1"/>
            <w:rPr>
              <w:rFonts w:eastAsiaTheme="minorEastAsia"/>
              <w:b w:val="0"/>
              <w:bCs w:val="0"/>
              <w:lang w:eastAsia="lv-LV"/>
            </w:rPr>
          </w:pPr>
          <w:hyperlink w:anchor="_Toc198649023" w:history="1">
            <w:r w:rsidRPr="006D4322">
              <w:rPr>
                <w:rStyle w:val="Hyperlink"/>
                <w:b w:val="0"/>
                <w:bCs w:val="0"/>
              </w:rPr>
              <w:t>Secinājumi</w:t>
            </w:r>
            <w:r w:rsidRPr="006D4322">
              <w:rPr>
                <w:b w:val="0"/>
                <w:bCs w:val="0"/>
                <w:webHidden/>
              </w:rPr>
              <w:tab/>
            </w:r>
            <w:r w:rsidRPr="006D4322">
              <w:rPr>
                <w:b w:val="0"/>
                <w:bCs w:val="0"/>
                <w:webHidden/>
              </w:rPr>
              <w:fldChar w:fldCharType="begin"/>
            </w:r>
            <w:r w:rsidRPr="006D4322">
              <w:rPr>
                <w:b w:val="0"/>
                <w:bCs w:val="0"/>
                <w:webHidden/>
              </w:rPr>
              <w:instrText xml:space="preserve"> PAGEREF _Toc198649023 \h </w:instrText>
            </w:r>
            <w:r w:rsidRPr="006D4322">
              <w:rPr>
                <w:b w:val="0"/>
                <w:bCs w:val="0"/>
                <w:webHidden/>
              </w:rPr>
            </w:r>
            <w:r w:rsidRPr="006D4322">
              <w:rPr>
                <w:b w:val="0"/>
                <w:bCs w:val="0"/>
                <w:webHidden/>
              </w:rPr>
              <w:fldChar w:fldCharType="separate"/>
            </w:r>
            <w:r w:rsidRPr="006D4322">
              <w:rPr>
                <w:b w:val="0"/>
                <w:bCs w:val="0"/>
                <w:webHidden/>
              </w:rPr>
              <w:t>22</w:t>
            </w:r>
            <w:r w:rsidRPr="006D4322">
              <w:rPr>
                <w:b w:val="0"/>
                <w:bCs w:val="0"/>
                <w:webHidden/>
              </w:rPr>
              <w:fldChar w:fldCharType="end"/>
            </w:r>
          </w:hyperlink>
        </w:p>
        <w:p w14:paraId="05958511" w14:textId="13D472FD" w:rsidR="00AD2EA7" w:rsidRPr="00F36B06" w:rsidRDefault="00AD2EA7" w:rsidP="001218AD">
          <w:pPr>
            <w:spacing w:after="0" w:line="240" w:lineRule="auto"/>
          </w:pPr>
          <w:r w:rsidRPr="00F36B06">
            <w:rPr>
              <w:rFonts w:ascii="Times New Roman" w:hAnsi="Times New Roman" w:cs="Times New Roman"/>
            </w:rPr>
            <w:fldChar w:fldCharType="end"/>
          </w:r>
        </w:p>
      </w:sdtContent>
    </w:sdt>
    <w:p w14:paraId="5752733B" w14:textId="77777777" w:rsidR="001218AD" w:rsidRPr="00F36B06" w:rsidRDefault="001218AD" w:rsidP="009D295A">
      <w:pPr>
        <w:spacing w:after="0" w:line="240" w:lineRule="auto"/>
        <w:jc w:val="both"/>
        <w:rPr>
          <w:rFonts w:ascii="Times New Roman" w:hAnsi="Times New Roman" w:cs="Times New Roman"/>
          <w:b/>
          <w:bCs/>
        </w:rPr>
      </w:pPr>
    </w:p>
    <w:p w14:paraId="6793F392" w14:textId="77777777" w:rsidR="001218AD" w:rsidRPr="00F36B06" w:rsidRDefault="001218AD" w:rsidP="009D295A">
      <w:pPr>
        <w:spacing w:after="0" w:line="240" w:lineRule="auto"/>
        <w:jc w:val="both"/>
        <w:rPr>
          <w:rFonts w:ascii="Times New Roman" w:hAnsi="Times New Roman" w:cs="Times New Roman"/>
          <w:b/>
          <w:bCs/>
        </w:rPr>
      </w:pPr>
    </w:p>
    <w:p w14:paraId="2E5CCC6C" w14:textId="6226D65A" w:rsidR="000111E3" w:rsidRPr="007902BF" w:rsidRDefault="000111E3" w:rsidP="009D295A">
      <w:pPr>
        <w:spacing w:after="0" w:line="240" w:lineRule="auto"/>
        <w:jc w:val="both"/>
        <w:rPr>
          <w:rFonts w:ascii="Times New Roman" w:hAnsi="Times New Roman" w:cs="Times New Roman"/>
          <w:b/>
          <w:bCs/>
          <w:sz w:val="28"/>
          <w:szCs w:val="28"/>
        </w:rPr>
      </w:pPr>
      <w:r w:rsidRPr="007902BF">
        <w:rPr>
          <w:rFonts w:ascii="Times New Roman" w:hAnsi="Times New Roman" w:cs="Times New Roman"/>
          <w:b/>
          <w:bCs/>
          <w:sz w:val="28"/>
          <w:szCs w:val="28"/>
        </w:rPr>
        <w:t>Izmantotie saīsinājumi:</w:t>
      </w:r>
    </w:p>
    <w:p w14:paraId="25FCD90B" w14:textId="5C83B453" w:rsidR="00A83F6A" w:rsidRPr="00F36B06" w:rsidRDefault="00A83F6A" w:rsidP="009D295A">
      <w:pPr>
        <w:spacing w:after="0" w:line="240" w:lineRule="auto"/>
        <w:jc w:val="both"/>
        <w:rPr>
          <w:rFonts w:ascii="Times New Roman" w:hAnsi="Times New Roman" w:cs="Times New Roman"/>
        </w:rPr>
      </w:pPr>
      <w:r w:rsidRPr="00F36B06">
        <w:rPr>
          <w:rFonts w:ascii="Times New Roman" w:hAnsi="Times New Roman" w:cs="Times New Roman"/>
        </w:rPr>
        <w:t>Administrators – maksātnespējas procesa administrators</w:t>
      </w:r>
    </w:p>
    <w:p w14:paraId="73EDF56A" w14:textId="2BD2AB1D" w:rsidR="00A83F6A" w:rsidRPr="00F36B06" w:rsidRDefault="00A83F6A" w:rsidP="009D295A">
      <w:pPr>
        <w:spacing w:after="0" w:line="240" w:lineRule="auto"/>
        <w:jc w:val="both"/>
        <w:rPr>
          <w:rFonts w:ascii="Times New Roman" w:hAnsi="Times New Roman" w:cs="Times New Roman"/>
        </w:rPr>
      </w:pPr>
      <w:r w:rsidRPr="00F36B06">
        <w:rPr>
          <w:rFonts w:ascii="Times New Roman" w:hAnsi="Times New Roman" w:cs="Times New Roman"/>
        </w:rPr>
        <w:t xml:space="preserve">ĀTAP – </w:t>
      </w:r>
      <w:proofErr w:type="spellStart"/>
      <w:r w:rsidRPr="00F36B06">
        <w:rPr>
          <w:rFonts w:ascii="Times New Roman" w:hAnsi="Times New Roman" w:cs="Times New Roman"/>
        </w:rPr>
        <w:t>ārpustiesas</w:t>
      </w:r>
      <w:proofErr w:type="spellEnd"/>
      <w:r w:rsidRPr="00F36B06">
        <w:rPr>
          <w:rFonts w:ascii="Times New Roman" w:hAnsi="Times New Roman" w:cs="Times New Roman"/>
        </w:rPr>
        <w:t xml:space="preserve"> tiesiskās aizsardzības process</w:t>
      </w:r>
    </w:p>
    <w:p w14:paraId="1C1AE4A0" w14:textId="47A6C219" w:rsidR="004702A9" w:rsidRPr="00F36B06" w:rsidRDefault="004702A9" w:rsidP="009D295A">
      <w:pPr>
        <w:spacing w:after="0" w:line="240" w:lineRule="auto"/>
        <w:jc w:val="both"/>
        <w:rPr>
          <w:rFonts w:ascii="Times New Roman" w:hAnsi="Times New Roman" w:cs="Times New Roman"/>
        </w:rPr>
      </w:pPr>
      <w:r w:rsidRPr="00F36B06">
        <w:rPr>
          <w:rFonts w:ascii="Times New Roman" w:hAnsi="Times New Roman" w:cs="Times New Roman"/>
        </w:rPr>
        <w:t>MPP – mantas pārdošanas plāns</w:t>
      </w:r>
    </w:p>
    <w:p w14:paraId="29EE08E2" w14:textId="6BB72502" w:rsidR="00356610" w:rsidRPr="00F36B06" w:rsidRDefault="004702A9" w:rsidP="009D295A">
      <w:pPr>
        <w:spacing w:after="0" w:line="240" w:lineRule="auto"/>
        <w:jc w:val="both"/>
        <w:rPr>
          <w:rFonts w:ascii="Times New Roman" w:hAnsi="Times New Roman" w:cs="Times New Roman"/>
        </w:rPr>
      </w:pPr>
      <w:r w:rsidRPr="00F36B06">
        <w:rPr>
          <w:rFonts w:ascii="Times New Roman" w:hAnsi="Times New Roman" w:cs="Times New Roman"/>
        </w:rPr>
        <w:t>ZPMN – ziņojums par parādnieka mantas neesamību</w:t>
      </w:r>
    </w:p>
    <w:p w14:paraId="2F7C50C5" w14:textId="3AE8A069" w:rsidR="004A0F36" w:rsidRPr="00F36B06" w:rsidRDefault="004A0F36" w:rsidP="009D295A">
      <w:pPr>
        <w:spacing w:after="0" w:line="240" w:lineRule="auto"/>
        <w:jc w:val="both"/>
        <w:rPr>
          <w:rFonts w:ascii="Times New Roman" w:hAnsi="Times New Roman" w:cs="Times New Roman"/>
        </w:rPr>
      </w:pPr>
      <w:r w:rsidRPr="00F36B06">
        <w:rPr>
          <w:rFonts w:ascii="Times New Roman" w:hAnsi="Times New Roman" w:cs="Times New Roman"/>
        </w:rPr>
        <w:t xml:space="preserve">VID – Valsts ieņēmumu dienests </w:t>
      </w:r>
    </w:p>
    <w:p w14:paraId="1FF1035D" w14:textId="7753B143" w:rsidR="00825FB2" w:rsidRPr="00F36B06" w:rsidRDefault="00825FB2" w:rsidP="00825FB2">
      <w:pPr>
        <w:spacing w:after="0" w:line="240" w:lineRule="auto"/>
        <w:rPr>
          <w:rFonts w:ascii="Times New Roman" w:hAnsi="Times New Roman" w:cs="Times New Roman"/>
          <w:b/>
          <w:bCs/>
        </w:rPr>
      </w:pPr>
    </w:p>
    <w:p w14:paraId="74A824DC" w14:textId="38FA562F" w:rsidR="009131FF" w:rsidRPr="007B2B6E" w:rsidRDefault="00CC052C" w:rsidP="00921052">
      <w:pPr>
        <w:pStyle w:val="Heading1"/>
        <w:spacing w:before="0" w:after="240" w:line="240" w:lineRule="auto"/>
        <w:jc w:val="center"/>
        <w:rPr>
          <w:rFonts w:ascii="Times New Roman" w:hAnsi="Times New Roman" w:cs="Times New Roman"/>
          <w:b/>
          <w:bCs/>
          <w:color w:val="000000" w:themeColor="text1"/>
          <w:sz w:val="24"/>
          <w:szCs w:val="24"/>
        </w:rPr>
      </w:pPr>
      <w:r w:rsidRPr="00F36B06">
        <w:br w:type="page"/>
      </w:r>
    </w:p>
    <w:p w14:paraId="6DD67CCA" w14:textId="4251C044" w:rsidR="007902BF" w:rsidRDefault="007902BF" w:rsidP="00497A50">
      <w:pPr>
        <w:spacing w:after="0" w:line="240" w:lineRule="auto"/>
        <w:ind w:firstLine="720"/>
        <w:jc w:val="both"/>
        <w:rPr>
          <w:rFonts w:ascii="Times New Roman" w:hAnsi="Times New Roman" w:cs="Times New Roman"/>
        </w:rPr>
      </w:pPr>
      <w:r>
        <w:rPr>
          <w:noProof/>
        </w:rPr>
        <w:lastRenderedPageBreak/>
        <mc:AlternateContent>
          <mc:Choice Requires="wps">
            <w:drawing>
              <wp:anchor distT="0" distB="0" distL="114300" distR="114300" simplePos="0" relativeHeight="251664384" behindDoc="0" locked="0" layoutInCell="1" allowOverlap="1" wp14:anchorId="40006A2C" wp14:editId="0E0F65CC">
                <wp:simplePos x="0" y="0"/>
                <wp:positionH relativeFrom="margin">
                  <wp:posOffset>15240</wp:posOffset>
                </wp:positionH>
                <wp:positionV relativeFrom="paragraph">
                  <wp:posOffset>-27495</wp:posOffset>
                </wp:positionV>
                <wp:extent cx="5902036" cy="311285"/>
                <wp:effectExtent l="0" t="0" r="22860" b="12700"/>
                <wp:wrapNone/>
                <wp:docPr id="1352777528" name="Text Box 8"/>
                <wp:cNvGraphicFramePr/>
                <a:graphic xmlns:a="http://schemas.openxmlformats.org/drawingml/2006/main">
                  <a:graphicData uri="http://schemas.microsoft.com/office/word/2010/wordprocessingShape">
                    <wps:wsp>
                      <wps:cNvSpPr txBox="1"/>
                      <wps:spPr>
                        <a:xfrm>
                          <a:off x="0" y="0"/>
                          <a:ext cx="5902036" cy="311285"/>
                        </a:xfrm>
                        <a:prstGeom prst="rect">
                          <a:avLst/>
                        </a:prstGeom>
                        <a:solidFill>
                          <a:srgbClr val="B3E3FA"/>
                        </a:solidFill>
                        <a:ln w="6350">
                          <a:solidFill>
                            <a:schemeClr val="bg1"/>
                          </a:solidFill>
                        </a:ln>
                      </wps:spPr>
                      <wps:txbx>
                        <w:txbxContent>
                          <w:p w14:paraId="5D122925" w14:textId="110590F9" w:rsidR="007902BF" w:rsidRPr="007902BF" w:rsidRDefault="007902BF" w:rsidP="007902BF">
                            <w:pPr>
                              <w:jc w:val="center"/>
                              <w:rPr>
                                <w:rFonts w:ascii="Times New Roman" w:hAnsi="Times New Roman" w:cs="Times New Roman"/>
                                <w:b/>
                                <w:bCs/>
                                <w:sz w:val="28"/>
                                <w:szCs w:val="28"/>
                              </w:rPr>
                            </w:pPr>
                            <w:r w:rsidRPr="007902BF">
                              <w:rPr>
                                <w:rFonts w:ascii="Times New Roman" w:hAnsi="Times New Roman" w:cs="Times New Roman"/>
                                <w:b/>
                                <w:bCs/>
                                <w:sz w:val="28"/>
                                <w:szCs w:val="28"/>
                              </w:rPr>
                              <w:t>Ievads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06A2C" id="_x0000_s1029" type="#_x0000_t202" style="position:absolute;left:0;text-align:left;margin-left:1.2pt;margin-top:-2.15pt;width:464.75pt;height: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" fillcolor="#b3e3fa" strokecolor="white [3212]" strokeweight=".5pt">
                <v:textbox>
                  <w:txbxContent>
                    <w:p w14:paraId="5D122925" w14:textId="110590F9" w:rsidR="007902BF" w:rsidRPr="007902BF" w:rsidRDefault="007902BF" w:rsidP="007902BF">
                      <w:pPr>
                        <w:jc w:val="center"/>
                        <w:rPr>
                          <w:rFonts w:ascii="Times New Roman" w:hAnsi="Times New Roman" w:cs="Times New Roman"/>
                          <w:b/>
                          <w:bCs/>
                          <w:sz w:val="28"/>
                          <w:szCs w:val="28"/>
                        </w:rPr>
                      </w:pPr>
                      <w:r w:rsidRPr="007902BF">
                        <w:rPr>
                          <w:rFonts w:ascii="Times New Roman" w:hAnsi="Times New Roman" w:cs="Times New Roman"/>
                          <w:b/>
                          <w:bCs/>
                          <w:sz w:val="28"/>
                          <w:szCs w:val="28"/>
                        </w:rPr>
                        <w:t>Ievads</w:t>
                      </w:r>
                    </w:p>
                  </w:txbxContent>
                </v:textbox>
                <w10:wrap anchorx="margin"/>
              </v:shape>
            </w:pict>
          </mc:Fallback>
        </mc:AlternateContent>
      </w:r>
    </w:p>
    <w:p w14:paraId="55A5EF97" w14:textId="77777777" w:rsidR="007902BF" w:rsidRDefault="007902BF" w:rsidP="00497A50">
      <w:pPr>
        <w:spacing w:after="0" w:line="240" w:lineRule="auto"/>
        <w:ind w:firstLine="720"/>
        <w:jc w:val="both"/>
        <w:rPr>
          <w:rFonts w:ascii="Times New Roman" w:hAnsi="Times New Roman" w:cs="Times New Roman"/>
        </w:rPr>
      </w:pPr>
    </w:p>
    <w:p w14:paraId="29534392" w14:textId="77777777" w:rsidR="007902BF" w:rsidRDefault="007902BF" w:rsidP="00497A50">
      <w:pPr>
        <w:spacing w:after="0" w:line="240" w:lineRule="auto"/>
        <w:ind w:firstLine="720"/>
        <w:jc w:val="both"/>
        <w:rPr>
          <w:rFonts w:ascii="Times New Roman" w:hAnsi="Times New Roman" w:cs="Times New Roman"/>
        </w:rPr>
      </w:pPr>
    </w:p>
    <w:p w14:paraId="1BD5182D" w14:textId="7FC0FA67" w:rsidR="003C7D0B" w:rsidRPr="00F36B06" w:rsidRDefault="00DF061D" w:rsidP="00497A50">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Gadījumos, kad </w:t>
      </w:r>
      <w:r w:rsidR="00356610" w:rsidRPr="00F36B06">
        <w:rPr>
          <w:rFonts w:ascii="Times New Roman" w:hAnsi="Times New Roman" w:cs="Times New Roman"/>
        </w:rPr>
        <w:t>parādnieka manta nav pietiekama, lai pilnā apmērā apmierinātu visu</w:t>
      </w:r>
      <w:r w:rsidR="0046694A" w:rsidRPr="00F36B06">
        <w:rPr>
          <w:rFonts w:ascii="Times New Roman" w:hAnsi="Times New Roman" w:cs="Times New Roman"/>
        </w:rPr>
        <w:t xml:space="preserve"> </w:t>
      </w:r>
      <w:r w:rsidR="00356610" w:rsidRPr="00F36B06">
        <w:rPr>
          <w:rFonts w:ascii="Times New Roman" w:hAnsi="Times New Roman" w:cs="Times New Roman"/>
        </w:rPr>
        <w:t>kreditoru prasījumu</w:t>
      </w:r>
      <w:r w:rsidR="00345928" w:rsidRPr="00F36B06">
        <w:rPr>
          <w:rFonts w:ascii="Times New Roman" w:hAnsi="Times New Roman" w:cs="Times New Roman"/>
        </w:rPr>
        <w:t>s</w:t>
      </w:r>
      <w:r w:rsidR="00356610" w:rsidRPr="00F36B06">
        <w:rPr>
          <w:rFonts w:ascii="Times New Roman" w:hAnsi="Times New Roman" w:cs="Times New Roman"/>
        </w:rPr>
        <w:t>, lai nodrošinātu tās proporcionālu sadalījumu, tiek uzsākts maksātnespējas process. Viens no galvenajiem maksātnespējas procesa mērķiem ir pēc iespējas pilnīgāk apmierin</w:t>
      </w:r>
      <w:r w:rsidR="008760C1" w:rsidRPr="00F36B06">
        <w:rPr>
          <w:rFonts w:ascii="Times New Roman" w:hAnsi="Times New Roman" w:cs="Times New Roman"/>
        </w:rPr>
        <w:t>āt kreditoru</w:t>
      </w:r>
      <w:r w:rsidR="00356610" w:rsidRPr="00F36B06">
        <w:rPr>
          <w:rFonts w:ascii="Times New Roman" w:hAnsi="Times New Roman" w:cs="Times New Roman"/>
        </w:rPr>
        <w:t xml:space="preserve"> prasījumus no parādnieka mantas. </w:t>
      </w:r>
      <w:r w:rsidR="003C7D0B" w:rsidRPr="00F36B06">
        <w:rPr>
          <w:rFonts w:ascii="Times New Roman" w:hAnsi="Times New Roman" w:cs="Times New Roman"/>
        </w:rPr>
        <w:t xml:space="preserve">Lai to sasniegtu, tiek apzināta ne tikai manta, kas </w:t>
      </w:r>
      <w:r w:rsidR="00D10B97" w:rsidRPr="00F36B06">
        <w:rPr>
          <w:rFonts w:ascii="Times New Roman" w:hAnsi="Times New Roman" w:cs="Times New Roman"/>
        </w:rPr>
        <w:t>ir parādnieka rīcībā maksātnespējas procesa uzsākšanas</w:t>
      </w:r>
      <w:r w:rsidR="003C7D0B" w:rsidRPr="00F36B06">
        <w:rPr>
          <w:rFonts w:ascii="Times New Roman" w:hAnsi="Times New Roman" w:cs="Times New Roman"/>
        </w:rPr>
        <w:t xml:space="preserve"> brīdī, bet arī veiktas darbības mantas atgūšanai. Jo efektīvākas ir šīs darbības, jo pilnīgāk iespējams sasniegt </w:t>
      </w:r>
      <w:r w:rsidR="006A4879" w:rsidRPr="00F36B06">
        <w:rPr>
          <w:rFonts w:ascii="Times New Roman" w:hAnsi="Times New Roman" w:cs="Times New Roman"/>
        </w:rPr>
        <w:t xml:space="preserve">maksātnespējas </w:t>
      </w:r>
      <w:r w:rsidR="003C7D0B" w:rsidRPr="00F36B06">
        <w:rPr>
          <w:rFonts w:ascii="Times New Roman" w:hAnsi="Times New Roman" w:cs="Times New Roman"/>
        </w:rPr>
        <w:t>procesa mērķi.</w:t>
      </w:r>
    </w:p>
    <w:p w14:paraId="6494FBBD" w14:textId="7EE8544F" w:rsidR="006C726D" w:rsidRPr="00F36B06" w:rsidRDefault="008B3BC0" w:rsidP="00497A50">
      <w:pPr>
        <w:spacing w:after="0" w:line="240" w:lineRule="auto"/>
        <w:ind w:firstLine="720"/>
        <w:jc w:val="both"/>
        <w:rPr>
          <w:rFonts w:ascii="Times New Roman" w:hAnsi="Times New Roman" w:cs="Times New Roman"/>
        </w:rPr>
      </w:pPr>
      <w:r w:rsidRPr="00F36B06">
        <w:rPr>
          <w:rFonts w:ascii="Times New Roman" w:hAnsi="Times New Roman" w:cs="Times New Roman"/>
        </w:rPr>
        <w:t>Mantas atgūša</w:t>
      </w:r>
      <w:r w:rsidR="004E2B76" w:rsidRPr="00F36B06">
        <w:rPr>
          <w:rFonts w:ascii="Times New Roman" w:hAnsi="Times New Roman" w:cs="Times New Roman"/>
        </w:rPr>
        <w:t xml:space="preserve">nai </w:t>
      </w:r>
      <w:r w:rsidR="008A4C6F" w:rsidRPr="00F36B06">
        <w:rPr>
          <w:rFonts w:ascii="Times New Roman" w:hAnsi="Times New Roman" w:cs="Times New Roman"/>
        </w:rPr>
        <w:t>administrators</w:t>
      </w:r>
      <w:r w:rsidR="00C37428" w:rsidRPr="00F36B06">
        <w:rPr>
          <w:rFonts w:ascii="Times New Roman" w:hAnsi="Times New Roman" w:cs="Times New Roman"/>
        </w:rPr>
        <w:t xml:space="preserve"> veic dažāda</w:t>
      </w:r>
      <w:r w:rsidR="00F66939" w:rsidRPr="00F36B06">
        <w:rPr>
          <w:rFonts w:ascii="Times New Roman" w:hAnsi="Times New Roman" w:cs="Times New Roman"/>
        </w:rPr>
        <w:t xml:space="preserve">s </w:t>
      </w:r>
      <w:r w:rsidR="00C37428" w:rsidRPr="00F36B06">
        <w:rPr>
          <w:rFonts w:ascii="Times New Roman" w:hAnsi="Times New Roman" w:cs="Times New Roman"/>
        </w:rPr>
        <w:t>darbības</w:t>
      </w:r>
      <w:r w:rsidR="00B830EE" w:rsidRPr="00F36B06">
        <w:rPr>
          <w:rFonts w:ascii="Times New Roman" w:hAnsi="Times New Roman" w:cs="Times New Roman"/>
        </w:rPr>
        <w:t xml:space="preserve"> – </w:t>
      </w:r>
      <w:r w:rsidR="008A3906" w:rsidRPr="00F36B06">
        <w:rPr>
          <w:rFonts w:ascii="Times New Roman" w:hAnsi="Times New Roman" w:cs="Times New Roman"/>
        </w:rPr>
        <w:t xml:space="preserve">vēršas </w:t>
      </w:r>
      <w:r w:rsidR="00041C96" w:rsidRPr="00F36B06">
        <w:rPr>
          <w:rFonts w:ascii="Times New Roman" w:hAnsi="Times New Roman" w:cs="Times New Roman"/>
        </w:rPr>
        <w:t xml:space="preserve">pret debitoriem, </w:t>
      </w:r>
      <w:r w:rsidR="002E064C" w:rsidRPr="00F36B06">
        <w:rPr>
          <w:rFonts w:ascii="Times New Roman" w:hAnsi="Times New Roman" w:cs="Times New Roman"/>
        </w:rPr>
        <w:t xml:space="preserve">aicinot tos labprātīgi </w:t>
      </w:r>
      <w:r w:rsidR="005253B0" w:rsidRPr="00F36B06">
        <w:rPr>
          <w:rFonts w:ascii="Times New Roman" w:hAnsi="Times New Roman" w:cs="Times New Roman"/>
        </w:rPr>
        <w:t>segt nesamaksātos parādus</w:t>
      </w:r>
      <w:r w:rsidR="005D0956" w:rsidRPr="00F36B06">
        <w:rPr>
          <w:rFonts w:ascii="Times New Roman" w:hAnsi="Times New Roman" w:cs="Times New Roman"/>
        </w:rPr>
        <w:t>,</w:t>
      </w:r>
      <w:r w:rsidR="005253B0" w:rsidRPr="00F36B06">
        <w:rPr>
          <w:rFonts w:ascii="Times New Roman" w:hAnsi="Times New Roman" w:cs="Times New Roman"/>
        </w:rPr>
        <w:t xml:space="preserve"> vai ceļ tiesā pr</w:t>
      </w:r>
      <w:r w:rsidR="00C61E5A" w:rsidRPr="00F36B06">
        <w:rPr>
          <w:rFonts w:ascii="Times New Roman" w:hAnsi="Times New Roman" w:cs="Times New Roman"/>
        </w:rPr>
        <w:t>asību parāda piedziņ</w:t>
      </w:r>
      <w:r w:rsidR="00D8667B" w:rsidRPr="00F36B06">
        <w:rPr>
          <w:rFonts w:ascii="Times New Roman" w:hAnsi="Times New Roman" w:cs="Times New Roman"/>
        </w:rPr>
        <w:t>ai</w:t>
      </w:r>
      <w:r w:rsidR="00382D36" w:rsidRPr="00F36B06">
        <w:rPr>
          <w:rFonts w:ascii="Times New Roman" w:hAnsi="Times New Roman" w:cs="Times New Roman"/>
        </w:rPr>
        <w:t>, kā arī</w:t>
      </w:r>
      <w:r w:rsidR="005D0956" w:rsidRPr="00F36B06">
        <w:rPr>
          <w:rFonts w:ascii="Times New Roman" w:hAnsi="Times New Roman" w:cs="Times New Roman"/>
        </w:rPr>
        <w:t xml:space="preserve"> </w:t>
      </w:r>
      <w:r w:rsidR="00712F36" w:rsidRPr="00F36B06">
        <w:rPr>
          <w:rFonts w:ascii="Times New Roman" w:hAnsi="Times New Roman" w:cs="Times New Roman"/>
        </w:rPr>
        <w:t xml:space="preserve">atprasa no trešajām personām to valdījumā esošo parādnieka mantu. </w:t>
      </w:r>
      <w:r w:rsidR="00441863" w:rsidRPr="00F36B06">
        <w:rPr>
          <w:rFonts w:ascii="Times New Roman" w:hAnsi="Times New Roman" w:cs="Times New Roman"/>
        </w:rPr>
        <w:t xml:space="preserve">Tāpat parādnieka </w:t>
      </w:r>
      <w:r w:rsidR="00492452" w:rsidRPr="00F36B06">
        <w:rPr>
          <w:rFonts w:ascii="Times New Roman" w:hAnsi="Times New Roman" w:cs="Times New Roman"/>
        </w:rPr>
        <w:t>mant</w:t>
      </w:r>
      <w:r w:rsidR="00441863" w:rsidRPr="00F36B06">
        <w:rPr>
          <w:rFonts w:ascii="Times New Roman" w:hAnsi="Times New Roman" w:cs="Times New Roman"/>
        </w:rPr>
        <w:t xml:space="preserve">ā </w:t>
      </w:r>
      <w:r w:rsidR="00FC491B" w:rsidRPr="00F36B06">
        <w:rPr>
          <w:rFonts w:ascii="Times New Roman" w:hAnsi="Times New Roman" w:cs="Times New Roman"/>
        </w:rPr>
        <w:t xml:space="preserve">pēc maksātnespējas procesa pasludināšanas </w:t>
      </w:r>
      <w:r w:rsidR="00441863" w:rsidRPr="00F36B06">
        <w:rPr>
          <w:rFonts w:ascii="Times New Roman" w:hAnsi="Times New Roman" w:cs="Times New Roman"/>
        </w:rPr>
        <w:t>iekļaujas līdzekļi, kas iegūti</w:t>
      </w:r>
      <w:r w:rsidR="00103D74" w:rsidRPr="00F36B06">
        <w:rPr>
          <w:rFonts w:ascii="Times New Roman" w:hAnsi="Times New Roman" w:cs="Times New Roman"/>
        </w:rPr>
        <w:t>,</w:t>
      </w:r>
      <w:r w:rsidR="00441863" w:rsidRPr="00F36B06">
        <w:rPr>
          <w:rFonts w:ascii="Times New Roman" w:hAnsi="Times New Roman" w:cs="Times New Roman"/>
        </w:rPr>
        <w:t xml:space="preserve"> administratoram ceļot</w:t>
      </w:r>
      <w:r w:rsidR="00492452" w:rsidRPr="00F36B06">
        <w:rPr>
          <w:rFonts w:ascii="Times New Roman" w:hAnsi="Times New Roman" w:cs="Times New Roman"/>
        </w:rPr>
        <w:t xml:space="preserve"> </w:t>
      </w:r>
      <w:r w:rsidR="00AC3C7C" w:rsidRPr="00F36B06">
        <w:rPr>
          <w:rFonts w:ascii="Times New Roman" w:hAnsi="Times New Roman" w:cs="Times New Roman"/>
        </w:rPr>
        <w:t xml:space="preserve">tiesā </w:t>
      </w:r>
      <w:r w:rsidR="008A4C6F" w:rsidRPr="00F36B06">
        <w:rPr>
          <w:rFonts w:ascii="Times New Roman" w:hAnsi="Times New Roman" w:cs="Times New Roman"/>
        </w:rPr>
        <w:t xml:space="preserve">prasības par </w:t>
      </w:r>
      <w:r w:rsidR="006A4F9E" w:rsidRPr="00F36B06">
        <w:rPr>
          <w:rFonts w:ascii="Times New Roman" w:hAnsi="Times New Roman" w:cs="Times New Roman"/>
        </w:rPr>
        <w:t xml:space="preserve">parādniekam nodarīto </w:t>
      </w:r>
      <w:r w:rsidR="008A4C6F" w:rsidRPr="00F36B06">
        <w:rPr>
          <w:rFonts w:ascii="Times New Roman" w:hAnsi="Times New Roman" w:cs="Times New Roman"/>
        </w:rPr>
        <w:t xml:space="preserve">zaudējumu piedziņu, </w:t>
      </w:r>
      <w:r w:rsidR="0039717D" w:rsidRPr="00F36B06">
        <w:rPr>
          <w:rFonts w:ascii="Times New Roman" w:hAnsi="Times New Roman" w:cs="Times New Roman"/>
        </w:rPr>
        <w:t xml:space="preserve">tostarp </w:t>
      </w:r>
      <w:r w:rsidR="008A4C6F" w:rsidRPr="00F36B06">
        <w:rPr>
          <w:rFonts w:ascii="Times New Roman" w:hAnsi="Times New Roman" w:cs="Times New Roman"/>
        </w:rPr>
        <w:t>Maksātnespējas likuma 72.</w:t>
      </w:r>
      <w:r w:rsidR="008A4C6F" w:rsidRPr="00F36B06">
        <w:rPr>
          <w:rFonts w:ascii="Times New Roman" w:hAnsi="Times New Roman" w:cs="Times New Roman"/>
          <w:vertAlign w:val="superscript"/>
        </w:rPr>
        <w:t>1</w:t>
      </w:r>
      <w:r w:rsidR="008A4C6F" w:rsidRPr="00F36B06">
        <w:rPr>
          <w:rFonts w:ascii="Times New Roman" w:hAnsi="Times New Roman" w:cs="Times New Roman"/>
        </w:rPr>
        <w:t> pant</w:t>
      </w:r>
      <w:r w:rsidR="0039717D" w:rsidRPr="00F36B06">
        <w:rPr>
          <w:rFonts w:ascii="Times New Roman" w:hAnsi="Times New Roman" w:cs="Times New Roman"/>
        </w:rPr>
        <w:t>ā noteiktās prasības</w:t>
      </w:r>
      <w:r w:rsidR="00A320C5" w:rsidRPr="00F36B06">
        <w:rPr>
          <w:rFonts w:ascii="Times New Roman" w:hAnsi="Times New Roman" w:cs="Times New Roman"/>
        </w:rPr>
        <w:t>, kā arī</w:t>
      </w:r>
      <w:r w:rsidR="00B60155" w:rsidRPr="00F36B06">
        <w:rPr>
          <w:rFonts w:ascii="Times New Roman" w:hAnsi="Times New Roman" w:cs="Times New Roman"/>
        </w:rPr>
        <w:t xml:space="preserve"> prasības</w:t>
      </w:r>
      <w:r w:rsidR="00A320C5" w:rsidRPr="00F36B06">
        <w:rPr>
          <w:rFonts w:ascii="Times New Roman" w:hAnsi="Times New Roman" w:cs="Times New Roman"/>
        </w:rPr>
        <w:t xml:space="preserve"> </w:t>
      </w:r>
      <w:r w:rsidR="00D777C4" w:rsidRPr="00F36B06">
        <w:rPr>
          <w:rFonts w:ascii="Times New Roman" w:hAnsi="Times New Roman" w:cs="Times New Roman"/>
        </w:rPr>
        <w:t xml:space="preserve">par </w:t>
      </w:r>
      <w:r w:rsidR="008D5C65" w:rsidRPr="00F36B06">
        <w:rPr>
          <w:rFonts w:ascii="Times New Roman" w:hAnsi="Times New Roman" w:cs="Times New Roman"/>
        </w:rPr>
        <w:t>parādnieka pirms maksātnespējas procesa uzsākšanas slēgto</w:t>
      </w:r>
      <w:r w:rsidR="00130FD6" w:rsidRPr="00F36B06">
        <w:rPr>
          <w:rFonts w:ascii="Times New Roman" w:hAnsi="Times New Roman" w:cs="Times New Roman"/>
        </w:rPr>
        <w:t xml:space="preserve"> darījumu</w:t>
      </w:r>
      <w:r w:rsidR="00B60155" w:rsidRPr="00F36B06">
        <w:rPr>
          <w:rFonts w:ascii="Times New Roman" w:hAnsi="Times New Roman" w:cs="Times New Roman"/>
        </w:rPr>
        <w:t xml:space="preserve"> apstrīdēšanu</w:t>
      </w:r>
      <w:r w:rsidR="00130FD6" w:rsidRPr="00F36B06">
        <w:rPr>
          <w:rFonts w:ascii="Times New Roman" w:hAnsi="Times New Roman" w:cs="Times New Roman"/>
        </w:rPr>
        <w:t xml:space="preserve">. </w:t>
      </w:r>
      <w:r w:rsidR="00097DC6" w:rsidRPr="00F36B06">
        <w:rPr>
          <w:rFonts w:ascii="Times New Roman" w:hAnsi="Times New Roman" w:cs="Times New Roman"/>
        </w:rPr>
        <w:t>Zaudējumu piedziņas un darījumu apstrīdēšanas prasības ir būtisks instruments, ko administrators izmanto, lai panāktu taisnīgāku maksātnespējas procesa rezultātu</w:t>
      </w:r>
      <w:r w:rsidR="00D13932" w:rsidRPr="00F36B06">
        <w:rPr>
          <w:rFonts w:ascii="Times New Roman" w:hAnsi="Times New Roman" w:cs="Times New Roman"/>
        </w:rPr>
        <w:t>.</w:t>
      </w:r>
      <w:r w:rsidR="00097DC6" w:rsidRPr="00F36B06">
        <w:rPr>
          <w:rFonts w:ascii="Times New Roman" w:hAnsi="Times New Roman" w:cs="Times New Roman"/>
        </w:rPr>
        <w:t xml:space="preserve"> </w:t>
      </w:r>
      <w:r w:rsidR="00D13932" w:rsidRPr="00F36B06">
        <w:rPr>
          <w:rFonts w:ascii="Times New Roman" w:hAnsi="Times New Roman" w:cs="Times New Roman"/>
        </w:rPr>
        <w:t>T</w:t>
      </w:r>
      <w:r w:rsidR="00097DC6" w:rsidRPr="00F36B06">
        <w:rPr>
          <w:rFonts w:ascii="Times New Roman" w:hAnsi="Times New Roman" w:cs="Times New Roman"/>
        </w:rPr>
        <w:t xml:space="preserve">omēr </w:t>
      </w:r>
      <w:r w:rsidR="001B78DF" w:rsidRPr="00F36B06">
        <w:rPr>
          <w:rFonts w:ascii="Times New Roman" w:hAnsi="Times New Roman" w:cs="Times New Roman"/>
        </w:rPr>
        <w:t>jāatzīmē</w:t>
      </w:r>
      <w:r w:rsidR="00097DC6" w:rsidRPr="00F36B06">
        <w:rPr>
          <w:rFonts w:ascii="Times New Roman" w:hAnsi="Times New Roman" w:cs="Times New Roman"/>
        </w:rPr>
        <w:t xml:space="preserve">, ka pat gadījumā, ja tiesas spriedums administratoram ir labvēlīgs, tas vēl negarantē, ka rezultātā </w:t>
      </w:r>
      <w:r w:rsidR="00A17E44" w:rsidRPr="00F36B06">
        <w:rPr>
          <w:rFonts w:ascii="Times New Roman" w:hAnsi="Times New Roman" w:cs="Times New Roman"/>
        </w:rPr>
        <w:t>tiks atgūta</w:t>
      </w:r>
      <w:r w:rsidR="00097DC6" w:rsidRPr="00F36B06">
        <w:rPr>
          <w:rFonts w:ascii="Times New Roman" w:hAnsi="Times New Roman" w:cs="Times New Roman"/>
        </w:rPr>
        <w:t xml:space="preserve"> visa spriedumā norādītā summa – rezultāts būs atkarīgs no tā, vai un kādā apmērā tiks izpildīts spriedums.</w:t>
      </w:r>
      <w:r w:rsidR="00B72994" w:rsidRPr="00F36B06">
        <w:rPr>
          <w:rFonts w:ascii="Times New Roman" w:hAnsi="Times New Roman" w:cs="Times New Roman"/>
        </w:rPr>
        <w:t xml:space="preserve"> </w:t>
      </w:r>
    </w:p>
    <w:p w14:paraId="358B3CDB" w14:textId="313902EA" w:rsidR="00027321" w:rsidRPr="00F36B06" w:rsidRDefault="0030018C"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Šajā pētījumā </w:t>
      </w:r>
      <w:r w:rsidR="00557973" w:rsidRPr="00F36B06">
        <w:rPr>
          <w:rFonts w:ascii="Times New Roman" w:hAnsi="Times New Roman" w:cs="Times New Roman"/>
        </w:rPr>
        <w:t xml:space="preserve">ir apkopoti dati </w:t>
      </w:r>
      <w:r w:rsidR="00AF24F6" w:rsidRPr="00F36B06">
        <w:rPr>
          <w:rFonts w:ascii="Times New Roman" w:hAnsi="Times New Roman" w:cs="Times New Roman"/>
        </w:rPr>
        <w:t xml:space="preserve">par </w:t>
      </w:r>
      <w:r w:rsidR="006608B4" w:rsidRPr="00F36B06">
        <w:rPr>
          <w:rFonts w:ascii="Times New Roman" w:hAnsi="Times New Roman" w:cs="Times New Roman"/>
        </w:rPr>
        <w:t>administratoru celtajā</w:t>
      </w:r>
      <w:r w:rsidR="00B77924" w:rsidRPr="00F36B06">
        <w:rPr>
          <w:rFonts w:ascii="Times New Roman" w:hAnsi="Times New Roman" w:cs="Times New Roman"/>
        </w:rPr>
        <w:t>m</w:t>
      </w:r>
      <w:r w:rsidR="006608B4" w:rsidRPr="00F36B06">
        <w:rPr>
          <w:rFonts w:ascii="Times New Roman" w:hAnsi="Times New Roman" w:cs="Times New Roman"/>
        </w:rPr>
        <w:t xml:space="preserve"> prasībā</w:t>
      </w:r>
      <w:r w:rsidR="00B77924" w:rsidRPr="00F36B06">
        <w:rPr>
          <w:rFonts w:ascii="Times New Roman" w:hAnsi="Times New Roman" w:cs="Times New Roman"/>
        </w:rPr>
        <w:t>m</w:t>
      </w:r>
      <w:r w:rsidR="006608B4" w:rsidRPr="00F36B06">
        <w:rPr>
          <w:rFonts w:ascii="Times New Roman" w:hAnsi="Times New Roman" w:cs="Times New Roman"/>
        </w:rPr>
        <w:t xml:space="preserve"> juridiskās personas maksātnespējas procesos</w:t>
      </w:r>
      <w:r w:rsidR="003F15FE" w:rsidRPr="00F36B06">
        <w:rPr>
          <w:rFonts w:ascii="Times New Roman" w:hAnsi="Times New Roman" w:cs="Times New Roman"/>
        </w:rPr>
        <w:t xml:space="preserve"> – </w:t>
      </w:r>
      <w:r w:rsidR="00C63721" w:rsidRPr="00F36B06">
        <w:rPr>
          <w:rFonts w:ascii="Times New Roman" w:hAnsi="Times New Roman" w:cs="Times New Roman"/>
        </w:rPr>
        <w:t xml:space="preserve">konkrēti </w:t>
      </w:r>
      <w:bookmarkStart w:id="0" w:name="_Hlk186139618"/>
      <w:r w:rsidR="00AF24F6" w:rsidRPr="00F36B06">
        <w:rPr>
          <w:rFonts w:ascii="Times New Roman" w:hAnsi="Times New Roman" w:cs="Times New Roman"/>
        </w:rPr>
        <w:t xml:space="preserve">prasības </w:t>
      </w:r>
      <w:r w:rsidR="00C63721" w:rsidRPr="00F36B06">
        <w:rPr>
          <w:rFonts w:ascii="Times New Roman" w:hAnsi="Times New Roman" w:cs="Times New Roman"/>
        </w:rPr>
        <w:t>par zaudējumu piedziņ</w:t>
      </w:r>
      <w:r w:rsidR="004C47A1" w:rsidRPr="00F36B06">
        <w:rPr>
          <w:rFonts w:ascii="Times New Roman" w:hAnsi="Times New Roman" w:cs="Times New Roman"/>
        </w:rPr>
        <w:t>u</w:t>
      </w:r>
      <w:r w:rsidR="00C63721" w:rsidRPr="00F36B06">
        <w:rPr>
          <w:rFonts w:ascii="Times New Roman" w:hAnsi="Times New Roman" w:cs="Times New Roman"/>
        </w:rPr>
        <w:t xml:space="preserve">, </w:t>
      </w:r>
      <w:r w:rsidR="00DA666F" w:rsidRPr="00F36B06">
        <w:rPr>
          <w:rFonts w:ascii="Times New Roman" w:hAnsi="Times New Roman" w:cs="Times New Roman"/>
        </w:rPr>
        <w:t xml:space="preserve">tostarp </w:t>
      </w:r>
      <w:r w:rsidR="00C63721" w:rsidRPr="00F36B06">
        <w:rPr>
          <w:rFonts w:ascii="Times New Roman" w:hAnsi="Times New Roman" w:cs="Times New Roman"/>
        </w:rPr>
        <w:t>Maksātnespējas likuma 72.</w:t>
      </w:r>
      <w:r w:rsidR="00C63721" w:rsidRPr="00F36B06">
        <w:rPr>
          <w:rFonts w:ascii="Times New Roman" w:hAnsi="Times New Roman" w:cs="Times New Roman"/>
          <w:vertAlign w:val="superscript"/>
        </w:rPr>
        <w:t>1</w:t>
      </w:r>
      <w:r w:rsidR="00C63721" w:rsidRPr="00F36B06">
        <w:rPr>
          <w:rFonts w:ascii="Times New Roman" w:hAnsi="Times New Roman" w:cs="Times New Roman"/>
        </w:rPr>
        <w:t> pant</w:t>
      </w:r>
      <w:r w:rsidR="002439C2" w:rsidRPr="00F36B06">
        <w:rPr>
          <w:rFonts w:ascii="Times New Roman" w:hAnsi="Times New Roman" w:cs="Times New Roman"/>
        </w:rPr>
        <w:t>ā noteikt</w:t>
      </w:r>
      <w:r w:rsidR="006644CD" w:rsidRPr="00F36B06">
        <w:rPr>
          <w:rFonts w:ascii="Times New Roman" w:hAnsi="Times New Roman" w:cs="Times New Roman"/>
        </w:rPr>
        <w:t>ās prasības</w:t>
      </w:r>
      <w:r w:rsidR="00BD1F71" w:rsidRPr="00F36B06">
        <w:rPr>
          <w:rFonts w:ascii="Times New Roman" w:hAnsi="Times New Roman" w:cs="Times New Roman"/>
        </w:rPr>
        <w:t xml:space="preserve">, kā arī </w:t>
      </w:r>
      <w:r w:rsidR="00C63721" w:rsidRPr="00F36B06">
        <w:rPr>
          <w:rFonts w:ascii="Times New Roman" w:hAnsi="Times New Roman" w:cs="Times New Roman"/>
        </w:rPr>
        <w:t>darījumu apstrīdēšan</w:t>
      </w:r>
      <w:bookmarkEnd w:id="0"/>
      <w:r w:rsidR="00AF24F6" w:rsidRPr="00F36B06">
        <w:rPr>
          <w:rFonts w:ascii="Times New Roman" w:hAnsi="Times New Roman" w:cs="Times New Roman"/>
        </w:rPr>
        <w:t>as prasības</w:t>
      </w:r>
      <w:r w:rsidR="003F15FE" w:rsidRPr="00F36B06">
        <w:rPr>
          <w:rStyle w:val="FootnoteReference"/>
          <w:rFonts w:ascii="Times New Roman" w:hAnsi="Times New Roman" w:cs="Times New Roman"/>
        </w:rPr>
        <w:footnoteReference w:id="1"/>
      </w:r>
      <w:r w:rsidR="00C63721" w:rsidRPr="00F36B06">
        <w:rPr>
          <w:rFonts w:ascii="Times New Roman" w:hAnsi="Times New Roman" w:cs="Times New Roman"/>
        </w:rPr>
        <w:t xml:space="preserve">. </w:t>
      </w:r>
      <w:r w:rsidRPr="00F36B06">
        <w:rPr>
          <w:rFonts w:ascii="Times New Roman" w:hAnsi="Times New Roman" w:cs="Times New Roman"/>
        </w:rPr>
        <w:t xml:space="preserve">Pētījuma mērķis ir </w:t>
      </w:r>
      <w:r w:rsidR="007805FD" w:rsidRPr="00F36B06">
        <w:rPr>
          <w:rFonts w:ascii="Times New Roman" w:hAnsi="Times New Roman" w:cs="Times New Roman"/>
        </w:rPr>
        <w:t xml:space="preserve">izdarīt </w:t>
      </w:r>
      <w:r w:rsidRPr="00F36B06">
        <w:rPr>
          <w:rFonts w:ascii="Times New Roman" w:hAnsi="Times New Roman" w:cs="Times New Roman"/>
        </w:rPr>
        <w:t>secinā</w:t>
      </w:r>
      <w:r w:rsidR="007805FD" w:rsidRPr="00F36B06">
        <w:rPr>
          <w:rFonts w:ascii="Times New Roman" w:hAnsi="Times New Roman" w:cs="Times New Roman"/>
        </w:rPr>
        <w:t>jumus</w:t>
      </w:r>
      <w:r w:rsidRPr="00F36B06">
        <w:rPr>
          <w:rFonts w:ascii="Times New Roman" w:hAnsi="Times New Roman" w:cs="Times New Roman"/>
        </w:rPr>
        <w:t>, vai</w:t>
      </w:r>
      <w:r w:rsidR="00DA666F" w:rsidRPr="00F36B06">
        <w:rPr>
          <w:rFonts w:ascii="Times New Roman" w:hAnsi="Times New Roman" w:cs="Times New Roman"/>
        </w:rPr>
        <w:t xml:space="preserve">, izmantojot </w:t>
      </w:r>
      <w:r w:rsidR="00E7517B" w:rsidRPr="00F36B06">
        <w:rPr>
          <w:rFonts w:ascii="Times New Roman" w:hAnsi="Times New Roman" w:cs="Times New Roman"/>
        </w:rPr>
        <w:t>šos</w:t>
      </w:r>
      <w:r w:rsidRPr="00F36B06">
        <w:rPr>
          <w:rFonts w:ascii="Times New Roman" w:hAnsi="Times New Roman" w:cs="Times New Roman"/>
        </w:rPr>
        <w:t xml:space="preserve"> </w:t>
      </w:r>
      <w:r w:rsidR="00F07E05" w:rsidRPr="00F36B06">
        <w:rPr>
          <w:rFonts w:ascii="Times New Roman" w:hAnsi="Times New Roman" w:cs="Times New Roman"/>
        </w:rPr>
        <w:t>tiesiskos instrumentus</w:t>
      </w:r>
      <w:r w:rsidR="00E7517B" w:rsidRPr="00F36B06">
        <w:rPr>
          <w:rFonts w:ascii="Times New Roman" w:hAnsi="Times New Roman" w:cs="Times New Roman"/>
        </w:rPr>
        <w:t>,</w:t>
      </w:r>
      <w:r w:rsidRPr="00F36B06">
        <w:rPr>
          <w:rFonts w:ascii="Times New Roman" w:hAnsi="Times New Roman" w:cs="Times New Roman"/>
        </w:rPr>
        <w:t xml:space="preserve"> praksē </w:t>
      </w:r>
      <w:r w:rsidR="006B2C52" w:rsidRPr="00F36B06">
        <w:rPr>
          <w:rFonts w:ascii="Times New Roman" w:hAnsi="Times New Roman" w:cs="Times New Roman"/>
        </w:rPr>
        <w:t>tiek</w:t>
      </w:r>
      <w:r w:rsidRPr="00F36B06">
        <w:rPr>
          <w:rFonts w:ascii="Times New Roman" w:hAnsi="Times New Roman" w:cs="Times New Roman"/>
        </w:rPr>
        <w:t xml:space="preserve"> nodrošin</w:t>
      </w:r>
      <w:r w:rsidR="006B2C52" w:rsidRPr="00F36B06">
        <w:rPr>
          <w:rFonts w:ascii="Times New Roman" w:hAnsi="Times New Roman" w:cs="Times New Roman"/>
        </w:rPr>
        <w:t>āta</w:t>
      </w:r>
      <w:r w:rsidRPr="00F36B06">
        <w:rPr>
          <w:rFonts w:ascii="Times New Roman" w:hAnsi="Times New Roman" w:cs="Times New Roman"/>
        </w:rPr>
        <w:t xml:space="preserve"> </w:t>
      </w:r>
      <w:r w:rsidR="00294CCE" w:rsidRPr="00F36B06">
        <w:rPr>
          <w:rFonts w:ascii="Times New Roman" w:hAnsi="Times New Roman" w:cs="Times New Roman"/>
        </w:rPr>
        <w:t>reāl</w:t>
      </w:r>
      <w:r w:rsidR="006B2C52" w:rsidRPr="00F36B06">
        <w:rPr>
          <w:rFonts w:ascii="Times New Roman" w:hAnsi="Times New Roman" w:cs="Times New Roman"/>
        </w:rPr>
        <w:t>a un efektīva</w:t>
      </w:r>
      <w:r w:rsidR="00294CCE" w:rsidRPr="00F36B06">
        <w:rPr>
          <w:rFonts w:ascii="Times New Roman" w:hAnsi="Times New Roman" w:cs="Times New Roman"/>
        </w:rPr>
        <w:t xml:space="preserve"> </w:t>
      </w:r>
      <w:r w:rsidRPr="00F36B06">
        <w:rPr>
          <w:rFonts w:ascii="Times New Roman" w:hAnsi="Times New Roman" w:cs="Times New Roman"/>
        </w:rPr>
        <w:t>kreditoru</w:t>
      </w:r>
      <w:r w:rsidR="00CB6A13" w:rsidRPr="00F36B06">
        <w:rPr>
          <w:rFonts w:ascii="Times New Roman" w:hAnsi="Times New Roman" w:cs="Times New Roman"/>
        </w:rPr>
        <w:t xml:space="preserve"> interešu</w:t>
      </w:r>
      <w:r w:rsidRPr="00F36B06">
        <w:rPr>
          <w:rFonts w:ascii="Times New Roman" w:hAnsi="Times New Roman" w:cs="Times New Roman"/>
        </w:rPr>
        <w:t xml:space="preserve"> aizsardzīb</w:t>
      </w:r>
      <w:r w:rsidR="006B2C52" w:rsidRPr="00F36B06">
        <w:rPr>
          <w:rFonts w:ascii="Times New Roman" w:hAnsi="Times New Roman" w:cs="Times New Roman"/>
        </w:rPr>
        <w:t>a</w:t>
      </w:r>
      <w:r w:rsidRPr="00F36B06">
        <w:rPr>
          <w:rFonts w:ascii="Times New Roman" w:hAnsi="Times New Roman" w:cs="Times New Roman"/>
        </w:rPr>
        <w:t xml:space="preserve"> </w:t>
      </w:r>
      <w:r w:rsidR="006B2C52" w:rsidRPr="00F36B06">
        <w:rPr>
          <w:rFonts w:ascii="Times New Roman" w:hAnsi="Times New Roman" w:cs="Times New Roman"/>
        </w:rPr>
        <w:t xml:space="preserve">juridiskās personas </w:t>
      </w:r>
      <w:r w:rsidRPr="00F36B06">
        <w:rPr>
          <w:rFonts w:ascii="Times New Roman" w:hAnsi="Times New Roman" w:cs="Times New Roman"/>
        </w:rPr>
        <w:t>maksātnespējas procesā.</w:t>
      </w:r>
      <w:r w:rsidR="00BF4877" w:rsidRPr="00F36B06">
        <w:rPr>
          <w:rFonts w:ascii="Times New Roman" w:hAnsi="Times New Roman" w:cs="Times New Roman"/>
        </w:rPr>
        <w:t xml:space="preserve"> Tādēļ pētījums fokusēts </w:t>
      </w:r>
      <w:r w:rsidR="001F4F2A" w:rsidRPr="00F36B06">
        <w:rPr>
          <w:rFonts w:ascii="Times New Roman" w:hAnsi="Times New Roman" w:cs="Times New Roman"/>
        </w:rPr>
        <w:t xml:space="preserve">uz </w:t>
      </w:r>
      <w:r w:rsidR="009B5E7C" w:rsidRPr="00F36B06">
        <w:rPr>
          <w:rFonts w:ascii="Times New Roman" w:hAnsi="Times New Roman" w:cs="Times New Roman"/>
        </w:rPr>
        <w:t xml:space="preserve">šo </w:t>
      </w:r>
      <w:r w:rsidR="0089560F" w:rsidRPr="00F36B06">
        <w:rPr>
          <w:rFonts w:ascii="Times New Roman" w:hAnsi="Times New Roman" w:cs="Times New Roman"/>
        </w:rPr>
        <w:t xml:space="preserve">tiesisko instrumentu </w:t>
      </w:r>
      <w:r w:rsidR="00196413" w:rsidRPr="00F36B06">
        <w:rPr>
          <w:rFonts w:ascii="Times New Roman" w:hAnsi="Times New Roman" w:cs="Times New Roman"/>
        </w:rPr>
        <w:t xml:space="preserve">piemērošanas rezultātiem – </w:t>
      </w:r>
      <w:r w:rsidR="001F4F2A" w:rsidRPr="00F36B06">
        <w:rPr>
          <w:rFonts w:ascii="Times New Roman" w:hAnsi="Times New Roman" w:cs="Times New Roman"/>
        </w:rPr>
        <w:t>datiem par</w:t>
      </w:r>
      <w:r w:rsidR="00B74626" w:rsidRPr="00F36B06">
        <w:rPr>
          <w:rFonts w:ascii="Times New Roman" w:hAnsi="Times New Roman" w:cs="Times New Roman"/>
        </w:rPr>
        <w:t xml:space="preserve"> prasījumu apmēriem</w:t>
      </w:r>
      <w:r w:rsidR="00040C6E" w:rsidRPr="00F36B06">
        <w:rPr>
          <w:rFonts w:ascii="Times New Roman" w:hAnsi="Times New Roman" w:cs="Times New Roman"/>
        </w:rPr>
        <w:t xml:space="preserve"> un</w:t>
      </w:r>
      <w:r w:rsidR="00B74626" w:rsidRPr="00F36B06">
        <w:rPr>
          <w:rFonts w:ascii="Times New Roman" w:hAnsi="Times New Roman" w:cs="Times New Roman"/>
        </w:rPr>
        <w:t xml:space="preserve"> </w:t>
      </w:r>
      <w:r w:rsidR="000C55F9" w:rsidRPr="00F36B06">
        <w:rPr>
          <w:rFonts w:ascii="Times New Roman" w:hAnsi="Times New Roman" w:cs="Times New Roman"/>
        </w:rPr>
        <w:t>no atbildētājiem</w:t>
      </w:r>
      <w:r w:rsidR="001F4F2A" w:rsidRPr="00F36B06">
        <w:rPr>
          <w:rFonts w:ascii="Times New Roman" w:hAnsi="Times New Roman" w:cs="Times New Roman"/>
        </w:rPr>
        <w:t xml:space="preserve"> piedzītajām naudas summām</w:t>
      </w:r>
      <w:r w:rsidR="00BD0A5B" w:rsidRPr="00F36B06">
        <w:rPr>
          <w:rFonts w:ascii="Times New Roman" w:hAnsi="Times New Roman" w:cs="Times New Roman"/>
        </w:rPr>
        <w:t>, nevis uz</w:t>
      </w:r>
      <w:r w:rsidR="0075168A" w:rsidRPr="00F36B06">
        <w:rPr>
          <w:rFonts w:ascii="Times New Roman" w:hAnsi="Times New Roman" w:cs="Times New Roman"/>
        </w:rPr>
        <w:t xml:space="preserve"> </w:t>
      </w:r>
      <w:r w:rsidR="00200076" w:rsidRPr="00F36B06">
        <w:rPr>
          <w:rFonts w:ascii="Times New Roman" w:hAnsi="Times New Roman" w:cs="Times New Roman"/>
        </w:rPr>
        <w:t>regulējošo</w:t>
      </w:r>
      <w:r w:rsidR="00BD0A5B" w:rsidRPr="00F36B06">
        <w:rPr>
          <w:rFonts w:ascii="Times New Roman" w:hAnsi="Times New Roman" w:cs="Times New Roman"/>
        </w:rPr>
        <w:t xml:space="preserve"> tiesību </w:t>
      </w:r>
      <w:r w:rsidR="00CB6A13" w:rsidRPr="00F36B06">
        <w:rPr>
          <w:rFonts w:ascii="Times New Roman" w:hAnsi="Times New Roman" w:cs="Times New Roman"/>
        </w:rPr>
        <w:t xml:space="preserve">normu </w:t>
      </w:r>
      <w:r w:rsidR="00BD0A5B" w:rsidRPr="00F36B06">
        <w:rPr>
          <w:rFonts w:ascii="Times New Roman" w:hAnsi="Times New Roman" w:cs="Times New Roman"/>
        </w:rPr>
        <w:t xml:space="preserve">piemērošanas </w:t>
      </w:r>
      <w:proofErr w:type="spellStart"/>
      <w:r w:rsidR="00BD0A5B" w:rsidRPr="00F36B06">
        <w:rPr>
          <w:rFonts w:ascii="Times New Roman" w:hAnsi="Times New Roman" w:cs="Times New Roman"/>
        </w:rPr>
        <w:t>problēmjautājum</w:t>
      </w:r>
      <w:r w:rsidR="007264FC" w:rsidRPr="00F36B06">
        <w:rPr>
          <w:rFonts w:ascii="Times New Roman" w:hAnsi="Times New Roman" w:cs="Times New Roman"/>
        </w:rPr>
        <w:t>u</w:t>
      </w:r>
      <w:proofErr w:type="spellEnd"/>
      <w:r w:rsidR="007264FC" w:rsidRPr="00F36B06">
        <w:rPr>
          <w:rFonts w:ascii="Times New Roman" w:hAnsi="Times New Roman" w:cs="Times New Roman"/>
        </w:rPr>
        <w:t xml:space="preserve"> izpēti</w:t>
      </w:r>
      <w:r w:rsidR="00BD0A5B" w:rsidRPr="00F36B06">
        <w:rPr>
          <w:rFonts w:ascii="Times New Roman" w:hAnsi="Times New Roman" w:cs="Times New Roman"/>
        </w:rPr>
        <w:t>.</w:t>
      </w:r>
      <w:r w:rsidR="00CB6A13" w:rsidRPr="00F36B06">
        <w:rPr>
          <w:rFonts w:ascii="Times New Roman" w:hAnsi="Times New Roman" w:cs="Times New Roman"/>
        </w:rPr>
        <w:t xml:space="preserve"> </w:t>
      </w:r>
      <w:r w:rsidR="0040005E" w:rsidRPr="00F36B06">
        <w:rPr>
          <w:rFonts w:ascii="Times New Roman" w:hAnsi="Times New Roman" w:cs="Times New Roman"/>
        </w:rPr>
        <w:t>J</w:t>
      </w:r>
      <w:r w:rsidR="00080FC8" w:rsidRPr="00F36B06">
        <w:rPr>
          <w:rFonts w:ascii="Times New Roman" w:hAnsi="Times New Roman" w:cs="Times New Roman"/>
        </w:rPr>
        <w:t xml:space="preserve">āatzīmē, ka pētījuma ietvaros nav analizēti </w:t>
      </w:r>
      <w:r w:rsidR="00150FFD" w:rsidRPr="00F36B06">
        <w:rPr>
          <w:rFonts w:ascii="Times New Roman" w:hAnsi="Times New Roman" w:cs="Times New Roman"/>
        </w:rPr>
        <w:t>tie maksātnespējas procesi</w:t>
      </w:r>
      <w:r w:rsidR="00080FC8" w:rsidRPr="00F36B06">
        <w:rPr>
          <w:rFonts w:ascii="Times New Roman" w:hAnsi="Times New Roman" w:cs="Times New Roman"/>
        </w:rPr>
        <w:t>, kur</w:t>
      </w:r>
      <w:r w:rsidR="00150FFD" w:rsidRPr="00F36B06">
        <w:rPr>
          <w:rFonts w:ascii="Times New Roman" w:hAnsi="Times New Roman" w:cs="Times New Roman"/>
        </w:rPr>
        <w:t>os</w:t>
      </w:r>
      <w:r w:rsidR="00080FC8" w:rsidRPr="00F36B06">
        <w:rPr>
          <w:rFonts w:ascii="Times New Roman" w:hAnsi="Times New Roman" w:cs="Times New Roman"/>
        </w:rPr>
        <w:t xml:space="preserve"> administratori vispār nebija cēluši prasības </w:t>
      </w:r>
      <w:r w:rsidR="00294E00" w:rsidRPr="00F36B06">
        <w:rPr>
          <w:rFonts w:ascii="Times New Roman" w:hAnsi="Times New Roman" w:cs="Times New Roman"/>
        </w:rPr>
        <w:t>par zaudējumu atlīdzību</w:t>
      </w:r>
      <w:r w:rsidR="00D9070B" w:rsidRPr="00F36B06">
        <w:rPr>
          <w:rFonts w:ascii="Times New Roman" w:hAnsi="Times New Roman" w:cs="Times New Roman"/>
        </w:rPr>
        <w:t xml:space="preserve"> vai apstrīdējuši darījumus</w:t>
      </w:r>
      <w:r w:rsidR="00E54498" w:rsidRPr="00F36B06">
        <w:rPr>
          <w:rFonts w:ascii="Times New Roman" w:hAnsi="Times New Roman" w:cs="Times New Roman"/>
        </w:rPr>
        <w:t>.</w:t>
      </w:r>
      <w:r w:rsidR="007D5D83" w:rsidRPr="00F36B06">
        <w:rPr>
          <w:rFonts w:ascii="Times New Roman" w:hAnsi="Times New Roman" w:cs="Times New Roman"/>
        </w:rPr>
        <w:t xml:space="preserve"> </w:t>
      </w:r>
      <w:r w:rsidR="00B822E8" w:rsidRPr="00F36B06">
        <w:rPr>
          <w:rFonts w:ascii="Times New Roman" w:hAnsi="Times New Roman" w:cs="Times New Roman"/>
        </w:rPr>
        <w:t xml:space="preserve">Tādēļ nākotnē būtu lietderīgi veikt papildu izpēti par administratoru motivāciju un šķēršļiem, kas kavē šādu prasību celšanu, lai </w:t>
      </w:r>
      <w:proofErr w:type="spellStart"/>
      <w:r w:rsidR="00B822E8" w:rsidRPr="00F36B06">
        <w:rPr>
          <w:rFonts w:ascii="Times New Roman" w:hAnsi="Times New Roman" w:cs="Times New Roman"/>
        </w:rPr>
        <w:t>visaptverošāk</w:t>
      </w:r>
      <w:proofErr w:type="spellEnd"/>
      <w:r w:rsidR="00B822E8" w:rsidRPr="00F36B06">
        <w:rPr>
          <w:rFonts w:ascii="Times New Roman" w:hAnsi="Times New Roman" w:cs="Times New Roman"/>
        </w:rPr>
        <w:t xml:space="preserve"> novērtētu civiltiesiskās atbildības mehānisma praktisko efektivitāti maksātnespējas procesos.</w:t>
      </w:r>
    </w:p>
    <w:p w14:paraId="621D27B8" w14:textId="211C63B1" w:rsidR="001316CB" w:rsidRPr="00F36B06" w:rsidRDefault="001316CB"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Pētījumā </w:t>
      </w:r>
      <w:r w:rsidR="00546105" w:rsidRPr="00F36B06">
        <w:rPr>
          <w:rFonts w:ascii="Times New Roman" w:hAnsi="Times New Roman" w:cs="Times New Roman"/>
        </w:rPr>
        <w:t>apkopoti dati par</w:t>
      </w:r>
      <w:r w:rsidRPr="00F36B06">
        <w:rPr>
          <w:rFonts w:ascii="Times New Roman" w:hAnsi="Times New Roman" w:cs="Times New Roman"/>
        </w:rPr>
        <w:t xml:space="preserve"> visi</w:t>
      </w:r>
      <w:r w:rsidR="00546105" w:rsidRPr="00F36B06">
        <w:rPr>
          <w:rFonts w:ascii="Times New Roman" w:hAnsi="Times New Roman" w:cs="Times New Roman"/>
        </w:rPr>
        <w:t>em</w:t>
      </w:r>
      <w:r w:rsidRPr="00F36B06">
        <w:rPr>
          <w:rFonts w:ascii="Times New Roman" w:hAnsi="Times New Roman" w:cs="Times New Roman"/>
        </w:rPr>
        <w:t xml:space="preserve"> 2023.</w:t>
      </w:r>
      <w:r w:rsidR="00B66360" w:rsidRPr="00F36B06">
        <w:rPr>
          <w:rFonts w:ascii="Times New Roman" w:hAnsi="Times New Roman" w:cs="Times New Roman"/>
        </w:rPr>
        <w:t> </w:t>
      </w:r>
      <w:r w:rsidRPr="00F36B06">
        <w:rPr>
          <w:rFonts w:ascii="Times New Roman" w:hAnsi="Times New Roman" w:cs="Times New Roman"/>
        </w:rPr>
        <w:t>gadā izbeigt</w:t>
      </w:r>
      <w:r w:rsidR="00546105" w:rsidRPr="00F36B06">
        <w:rPr>
          <w:rFonts w:ascii="Times New Roman" w:hAnsi="Times New Roman" w:cs="Times New Roman"/>
        </w:rPr>
        <w:t>ajiem</w:t>
      </w:r>
      <w:r w:rsidRPr="00F36B06">
        <w:rPr>
          <w:rFonts w:ascii="Times New Roman" w:hAnsi="Times New Roman" w:cs="Times New Roman"/>
        </w:rPr>
        <w:t xml:space="preserve"> juridiskās personas maksātnespējas procesi</w:t>
      </w:r>
      <w:r w:rsidR="00546105" w:rsidRPr="00F36B06">
        <w:rPr>
          <w:rFonts w:ascii="Times New Roman" w:hAnsi="Times New Roman" w:cs="Times New Roman"/>
        </w:rPr>
        <w:t>em</w:t>
      </w:r>
      <w:r w:rsidRPr="00F36B06">
        <w:rPr>
          <w:rFonts w:ascii="Times New Roman" w:hAnsi="Times New Roman" w:cs="Times New Roman"/>
        </w:rPr>
        <w:t xml:space="preserve"> – 246</w:t>
      </w:r>
      <w:r w:rsidR="005D6A8A" w:rsidRPr="00F36B06">
        <w:rPr>
          <w:rFonts w:ascii="Times New Roman" w:hAnsi="Times New Roman" w:cs="Times New Roman"/>
        </w:rPr>
        <w:t>.</w:t>
      </w:r>
      <w:r w:rsidR="00B66360" w:rsidRPr="00F36B06">
        <w:rPr>
          <w:rFonts w:ascii="Times New Roman" w:hAnsi="Times New Roman" w:cs="Times New Roman"/>
        </w:rPr>
        <w:t> </w:t>
      </w:r>
      <w:r w:rsidR="005D6A8A" w:rsidRPr="00F36B06">
        <w:rPr>
          <w:rFonts w:ascii="Times New Roman" w:hAnsi="Times New Roman" w:cs="Times New Roman"/>
        </w:rPr>
        <w:t>P</w:t>
      </w:r>
      <w:r w:rsidRPr="00F36B06">
        <w:rPr>
          <w:rFonts w:ascii="Times New Roman" w:hAnsi="Times New Roman" w:cs="Times New Roman"/>
        </w:rPr>
        <w:t>iecos no tiem procesa laikā ir notikusi pāreja uz ĀTAP</w:t>
      </w:r>
      <w:r w:rsidR="005D6A8A" w:rsidRPr="00F36B06">
        <w:rPr>
          <w:rFonts w:ascii="Times New Roman" w:hAnsi="Times New Roman" w:cs="Times New Roman"/>
        </w:rPr>
        <w:t xml:space="preserve"> un pētījuma</w:t>
      </w:r>
      <w:r w:rsidRPr="00F36B06">
        <w:rPr>
          <w:rFonts w:ascii="Times New Roman" w:hAnsi="Times New Roman" w:cs="Times New Roman"/>
        </w:rPr>
        <w:t xml:space="preserve"> datu analīzē</w:t>
      </w:r>
      <w:r w:rsidR="008015FE" w:rsidRPr="00F36B06">
        <w:rPr>
          <w:rFonts w:ascii="Times New Roman" w:hAnsi="Times New Roman" w:cs="Times New Roman"/>
        </w:rPr>
        <w:t xml:space="preserve"> šie</w:t>
      </w:r>
      <w:r w:rsidRPr="00F36B06">
        <w:rPr>
          <w:rFonts w:ascii="Times New Roman" w:hAnsi="Times New Roman" w:cs="Times New Roman"/>
        </w:rPr>
        <w:t xml:space="preserve"> maksātnespējas </w:t>
      </w:r>
      <w:r w:rsidR="008015FE" w:rsidRPr="00F36B06">
        <w:rPr>
          <w:rFonts w:ascii="Times New Roman" w:hAnsi="Times New Roman" w:cs="Times New Roman"/>
        </w:rPr>
        <w:t>procesi</w:t>
      </w:r>
      <w:r w:rsidRPr="00F36B06">
        <w:rPr>
          <w:rFonts w:ascii="Times New Roman" w:hAnsi="Times New Roman" w:cs="Times New Roman"/>
        </w:rPr>
        <w:t xml:space="preserve"> netiek iekļauti</w:t>
      </w:r>
      <w:r w:rsidR="008015FE" w:rsidRPr="00F36B06">
        <w:rPr>
          <w:rFonts w:ascii="Times New Roman" w:hAnsi="Times New Roman" w:cs="Times New Roman"/>
        </w:rPr>
        <w:t>.</w:t>
      </w:r>
      <w:r w:rsidRPr="00F36B06">
        <w:rPr>
          <w:rFonts w:ascii="Times New Roman" w:hAnsi="Times New Roman" w:cs="Times New Roman"/>
        </w:rPr>
        <w:t xml:space="preserve"> </w:t>
      </w:r>
      <w:r w:rsidR="008015FE" w:rsidRPr="00F36B06">
        <w:rPr>
          <w:rFonts w:ascii="Times New Roman" w:hAnsi="Times New Roman" w:cs="Times New Roman"/>
        </w:rPr>
        <w:t>L</w:t>
      </w:r>
      <w:r w:rsidRPr="00F36B06">
        <w:rPr>
          <w:rFonts w:ascii="Times New Roman" w:hAnsi="Times New Roman" w:cs="Times New Roman"/>
        </w:rPr>
        <w:t xml:space="preserve">īdz ar to </w:t>
      </w:r>
      <w:r w:rsidR="00546105" w:rsidRPr="00F36B06">
        <w:rPr>
          <w:rFonts w:ascii="Times New Roman" w:hAnsi="Times New Roman" w:cs="Times New Roman"/>
        </w:rPr>
        <w:t xml:space="preserve">pētījumā </w:t>
      </w:r>
      <w:r w:rsidRPr="00F36B06">
        <w:rPr>
          <w:rFonts w:ascii="Times New Roman" w:hAnsi="Times New Roman" w:cs="Times New Roman"/>
        </w:rPr>
        <w:t>analizēts 241</w:t>
      </w:r>
      <w:r w:rsidR="00B66360" w:rsidRPr="00F36B06">
        <w:rPr>
          <w:rFonts w:ascii="Times New Roman" w:hAnsi="Times New Roman" w:cs="Times New Roman"/>
        </w:rPr>
        <w:t> </w:t>
      </w:r>
      <w:r w:rsidRPr="00F36B06">
        <w:rPr>
          <w:rFonts w:ascii="Times New Roman" w:hAnsi="Times New Roman" w:cs="Times New Roman"/>
        </w:rPr>
        <w:t>juridiskās personas maksātnespējas process.</w:t>
      </w:r>
    </w:p>
    <w:p w14:paraId="29BA4C6A" w14:textId="6B3C2D4F" w:rsidR="00827954" w:rsidRPr="00F36B06" w:rsidRDefault="00827954" w:rsidP="009D295A">
      <w:pPr>
        <w:spacing w:after="0" w:line="240" w:lineRule="auto"/>
        <w:ind w:firstLine="720"/>
        <w:jc w:val="both"/>
        <w:rPr>
          <w:rFonts w:ascii="Times New Roman" w:hAnsi="Times New Roman" w:cs="Times New Roman"/>
        </w:rPr>
      </w:pPr>
    </w:p>
    <w:p w14:paraId="613994CC" w14:textId="4F42251B" w:rsidR="00DC0E10" w:rsidRPr="00921052" w:rsidRDefault="001A4263" w:rsidP="00921052">
      <w:pPr>
        <w:pStyle w:val="Heading1"/>
        <w:spacing w:before="0" w:after="240" w:line="240" w:lineRule="auto"/>
        <w:jc w:val="center"/>
        <w:rPr>
          <w:rFonts w:ascii="Times New Roman" w:hAnsi="Times New Roman" w:cs="Times New Roman"/>
          <w:b/>
          <w:bCs/>
          <w:sz w:val="24"/>
          <w:szCs w:val="24"/>
        </w:rPr>
      </w:pPr>
      <w:r w:rsidRPr="00F36B06">
        <w:br w:type="page"/>
      </w:r>
    </w:p>
    <w:p w14:paraId="498EFAF2" w14:textId="13B79B9C" w:rsidR="007902BF" w:rsidRDefault="007902BF" w:rsidP="00921052">
      <w:pPr>
        <w:spacing w:after="0" w:line="240" w:lineRule="auto"/>
        <w:ind w:firstLine="720"/>
        <w:jc w:val="both"/>
        <w:rPr>
          <w:rFonts w:ascii="Times New Roman" w:hAnsi="Times New Roman" w:cs="Times New Roman"/>
        </w:rPr>
      </w:pPr>
      <w:r>
        <w:rPr>
          <w:noProof/>
        </w:rPr>
        <w:lastRenderedPageBreak/>
        <mc:AlternateContent>
          <mc:Choice Requires="wps">
            <w:drawing>
              <wp:anchor distT="0" distB="0" distL="114300" distR="114300" simplePos="0" relativeHeight="251668480" behindDoc="0" locked="0" layoutInCell="1" allowOverlap="1" wp14:anchorId="2C3AEB7B" wp14:editId="35E49EDB">
                <wp:simplePos x="0" y="0"/>
                <wp:positionH relativeFrom="margin">
                  <wp:align>left</wp:align>
                </wp:positionH>
                <wp:positionV relativeFrom="paragraph">
                  <wp:posOffset>6829</wp:posOffset>
                </wp:positionV>
                <wp:extent cx="5902036" cy="534390"/>
                <wp:effectExtent l="0" t="0" r="22860" b="18415"/>
                <wp:wrapNone/>
                <wp:docPr id="1160802392" name="Text Box 8"/>
                <wp:cNvGraphicFramePr/>
                <a:graphic xmlns:a="http://schemas.openxmlformats.org/drawingml/2006/main">
                  <a:graphicData uri="http://schemas.microsoft.com/office/word/2010/wordprocessingShape">
                    <wps:wsp>
                      <wps:cNvSpPr txBox="1"/>
                      <wps:spPr>
                        <a:xfrm>
                          <a:off x="0" y="0"/>
                          <a:ext cx="5902036" cy="534390"/>
                        </a:xfrm>
                        <a:prstGeom prst="rect">
                          <a:avLst/>
                        </a:prstGeom>
                        <a:solidFill>
                          <a:srgbClr val="B3E3FA"/>
                        </a:solidFill>
                        <a:ln w="6350">
                          <a:solidFill>
                            <a:schemeClr val="bg1"/>
                          </a:solidFill>
                        </a:ln>
                      </wps:spPr>
                      <wps:txbx>
                        <w:txbxContent>
                          <w:p w14:paraId="356A1E10" w14:textId="32968C28" w:rsidR="007902BF" w:rsidRPr="007902BF" w:rsidRDefault="007902BF" w:rsidP="007902BF">
                            <w:pPr>
                              <w:jc w:val="center"/>
                              <w:rPr>
                                <w:rFonts w:ascii="Times New Roman" w:hAnsi="Times New Roman" w:cs="Times New Roman"/>
                                <w:b/>
                                <w:bCs/>
                                <w:sz w:val="28"/>
                                <w:szCs w:val="28"/>
                              </w:rPr>
                            </w:pPr>
                            <w:r w:rsidRPr="00921052">
                              <w:rPr>
                                <w:rFonts w:ascii="Times New Roman" w:hAnsi="Times New Roman" w:cs="Times New Roman"/>
                                <w:b/>
                                <w:bCs/>
                              </w:rPr>
                              <w:t>Zaudējumu piedziņas, Maksātnespējas likuma 72.</w:t>
                            </w:r>
                            <w:r w:rsidRPr="00921052">
                              <w:rPr>
                                <w:rFonts w:ascii="Times New Roman" w:hAnsi="Times New Roman" w:cs="Times New Roman"/>
                                <w:b/>
                                <w:bCs/>
                                <w:vertAlign w:val="superscript"/>
                              </w:rPr>
                              <w:t>1</w:t>
                            </w:r>
                            <w:r w:rsidRPr="00921052">
                              <w:rPr>
                                <w:rFonts w:ascii="Times New Roman" w:hAnsi="Times New Roman" w:cs="Times New Roman"/>
                                <w:b/>
                                <w:bCs/>
                              </w:rPr>
                              <w:t> panta un darījumu apstrīdēšanas prasības juridiskās personas maksātnespējas procesā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AEB7B" id="_x0000_s1030" type="#_x0000_t202" style="position:absolute;left:0;text-align:left;margin-left:0;margin-top:.55pt;width:464.75pt;height:42.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" fillcolor="#b3e3fa" strokecolor="white [3212]" strokeweight=".5pt">
                <v:textbox>
                  <w:txbxContent>
                    <w:p w14:paraId="356A1E10" w14:textId="32968C28" w:rsidR="007902BF" w:rsidRPr="007902BF" w:rsidRDefault="007902BF" w:rsidP="007902BF">
                      <w:pPr>
                        <w:jc w:val="center"/>
                        <w:rPr>
                          <w:rFonts w:ascii="Times New Roman" w:hAnsi="Times New Roman" w:cs="Times New Roman"/>
                          <w:b/>
                          <w:bCs/>
                          <w:sz w:val="28"/>
                          <w:szCs w:val="28"/>
                        </w:rPr>
                      </w:pPr>
                      <w:r w:rsidRPr="00921052">
                        <w:rPr>
                          <w:rFonts w:ascii="Times New Roman" w:hAnsi="Times New Roman" w:cs="Times New Roman"/>
                          <w:b/>
                          <w:bCs/>
                        </w:rPr>
                        <w:t>Zaudējumu piedziņas, Maksātnespējas likuma 72.</w:t>
                      </w:r>
                      <w:r w:rsidRPr="00921052">
                        <w:rPr>
                          <w:rFonts w:ascii="Times New Roman" w:hAnsi="Times New Roman" w:cs="Times New Roman"/>
                          <w:b/>
                          <w:bCs/>
                          <w:vertAlign w:val="superscript"/>
                        </w:rPr>
                        <w:t>1</w:t>
                      </w:r>
                      <w:r w:rsidRPr="00921052">
                        <w:rPr>
                          <w:rFonts w:ascii="Times New Roman" w:hAnsi="Times New Roman" w:cs="Times New Roman"/>
                          <w:b/>
                          <w:bCs/>
                        </w:rPr>
                        <w:t> panta un darījumu apstrīdēšanas prasības juridiskās personas maksātnespējas procesā</w:t>
                      </w:r>
                    </w:p>
                  </w:txbxContent>
                </v:textbox>
                <w10:wrap anchorx="margin"/>
              </v:shape>
            </w:pict>
          </mc:Fallback>
        </mc:AlternateContent>
      </w:r>
    </w:p>
    <w:p w14:paraId="1B8E1783" w14:textId="458E8182" w:rsidR="007902BF" w:rsidRDefault="007902BF" w:rsidP="00921052">
      <w:pPr>
        <w:spacing w:after="0" w:line="240" w:lineRule="auto"/>
        <w:ind w:firstLine="720"/>
        <w:jc w:val="both"/>
        <w:rPr>
          <w:rFonts w:ascii="Times New Roman" w:hAnsi="Times New Roman" w:cs="Times New Roman"/>
        </w:rPr>
      </w:pPr>
    </w:p>
    <w:p w14:paraId="784467D3" w14:textId="7D1B19D2" w:rsidR="007902BF" w:rsidRDefault="007902BF" w:rsidP="00921052">
      <w:pPr>
        <w:spacing w:after="0" w:line="240" w:lineRule="auto"/>
        <w:ind w:firstLine="720"/>
        <w:jc w:val="both"/>
        <w:rPr>
          <w:rFonts w:ascii="Times New Roman" w:hAnsi="Times New Roman" w:cs="Times New Roman"/>
        </w:rPr>
      </w:pPr>
    </w:p>
    <w:p w14:paraId="5D2D0F9E" w14:textId="77777777" w:rsidR="007902BF" w:rsidRDefault="007902BF" w:rsidP="00921052">
      <w:pPr>
        <w:spacing w:after="0" w:line="240" w:lineRule="auto"/>
        <w:ind w:firstLine="720"/>
        <w:jc w:val="both"/>
        <w:rPr>
          <w:rFonts w:ascii="Times New Roman" w:hAnsi="Times New Roman" w:cs="Times New Roman"/>
        </w:rPr>
      </w:pPr>
    </w:p>
    <w:p w14:paraId="279D446D" w14:textId="05A6B627" w:rsidR="00137D58" w:rsidRPr="00F36B06" w:rsidRDefault="00223053" w:rsidP="00921052">
      <w:pPr>
        <w:spacing w:after="0" w:line="240" w:lineRule="auto"/>
        <w:ind w:firstLine="720"/>
        <w:jc w:val="both"/>
        <w:rPr>
          <w:rFonts w:ascii="Times New Roman" w:hAnsi="Times New Roman" w:cs="Times New Roman"/>
        </w:rPr>
      </w:pPr>
      <w:r w:rsidRPr="00F36B06">
        <w:rPr>
          <w:rFonts w:ascii="Times New Roman" w:hAnsi="Times New Roman" w:cs="Times New Roman"/>
        </w:rPr>
        <w:t>Atbilstoši Maksātnespējas likumam j</w:t>
      </w:r>
      <w:r w:rsidR="00D86CD4" w:rsidRPr="00F36B06">
        <w:rPr>
          <w:rFonts w:ascii="Times New Roman" w:hAnsi="Times New Roman" w:cs="Times New Roman"/>
        </w:rPr>
        <w:t>uridiskās personas maksātnespējas process ir tiesiska rakstura pasākumu kopums, kura ietvaros no parādnieka mantas tiek segti kreditoru prasījumi, lai veicinātu parādnieka saistību izpildi.</w:t>
      </w:r>
      <w:r w:rsidR="00BB209E" w:rsidRPr="00F36B06">
        <w:rPr>
          <w:rStyle w:val="FootnoteReference"/>
          <w:rFonts w:ascii="Times New Roman" w:hAnsi="Times New Roman" w:cs="Times New Roman"/>
        </w:rPr>
        <w:footnoteReference w:id="2"/>
      </w:r>
      <w:r w:rsidR="00360D7D" w:rsidRPr="00F36B06">
        <w:rPr>
          <w:rFonts w:ascii="Times New Roman" w:hAnsi="Times New Roman" w:cs="Times New Roman"/>
        </w:rPr>
        <w:t xml:space="preserve"> </w:t>
      </w:r>
      <w:r w:rsidR="008246E6" w:rsidRPr="00F36B06">
        <w:rPr>
          <w:rFonts w:ascii="Times New Roman" w:hAnsi="Times New Roman" w:cs="Times New Roman"/>
        </w:rPr>
        <w:t>Lai nodrošinā</w:t>
      </w:r>
      <w:r w:rsidR="00AA007E" w:rsidRPr="00F36B06">
        <w:rPr>
          <w:rFonts w:ascii="Times New Roman" w:hAnsi="Times New Roman" w:cs="Times New Roman"/>
        </w:rPr>
        <w:t>tu maksātnespējas procesa mērķu sasniegšanu</w:t>
      </w:r>
      <w:r w:rsidR="00EB1D85" w:rsidRPr="00F36B06">
        <w:rPr>
          <w:rFonts w:ascii="Times New Roman" w:hAnsi="Times New Roman" w:cs="Times New Roman"/>
        </w:rPr>
        <w:t>,</w:t>
      </w:r>
      <w:r w:rsidR="00AA007E" w:rsidRPr="00F36B06">
        <w:rPr>
          <w:rFonts w:ascii="Times New Roman" w:hAnsi="Times New Roman" w:cs="Times New Roman"/>
        </w:rPr>
        <w:t xml:space="preserve"> pēc tā uzsākšanas </w:t>
      </w:r>
      <w:r w:rsidR="00C2210C" w:rsidRPr="00F36B06">
        <w:rPr>
          <w:rFonts w:ascii="Times New Roman" w:hAnsi="Times New Roman" w:cs="Times New Roman"/>
        </w:rPr>
        <w:t xml:space="preserve">tiek iecelts </w:t>
      </w:r>
      <w:r w:rsidR="00080A64" w:rsidRPr="00F36B06">
        <w:rPr>
          <w:rFonts w:ascii="Times New Roman" w:hAnsi="Times New Roman" w:cs="Times New Roman"/>
        </w:rPr>
        <w:t>administrato</w:t>
      </w:r>
      <w:r w:rsidR="00C2210C" w:rsidRPr="00F36B06">
        <w:rPr>
          <w:rFonts w:ascii="Times New Roman" w:hAnsi="Times New Roman" w:cs="Times New Roman"/>
        </w:rPr>
        <w:t>rs, kuram</w:t>
      </w:r>
      <w:r w:rsidR="00080A64" w:rsidRPr="00F36B06">
        <w:rPr>
          <w:rFonts w:ascii="Times New Roman" w:hAnsi="Times New Roman" w:cs="Times New Roman"/>
        </w:rPr>
        <w:t xml:space="preserve"> ir visas normatīvajos aktos, parādnieka statūtos vai līgumos paredzētās pārvaldes institūciju tiesības, pienākumi un atbildība</w:t>
      </w:r>
      <w:r w:rsidR="00C2210C" w:rsidRPr="00F36B06">
        <w:rPr>
          <w:rFonts w:ascii="Times New Roman" w:hAnsi="Times New Roman" w:cs="Times New Roman"/>
        </w:rPr>
        <w:t>, kā arī Maksātnespējas</w:t>
      </w:r>
      <w:r w:rsidR="00080A64" w:rsidRPr="00F36B06">
        <w:rPr>
          <w:rFonts w:ascii="Times New Roman" w:hAnsi="Times New Roman" w:cs="Times New Roman"/>
        </w:rPr>
        <w:t xml:space="preserve"> </w:t>
      </w:r>
      <w:r w:rsidR="00C2210C" w:rsidRPr="00F36B06">
        <w:rPr>
          <w:rFonts w:ascii="Times New Roman" w:hAnsi="Times New Roman" w:cs="Times New Roman"/>
        </w:rPr>
        <w:t>likumā noteiktie administratora pienākumi.</w:t>
      </w:r>
      <w:r w:rsidR="00C2210C" w:rsidRPr="00F36B06">
        <w:rPr>
          <w:rStyle w:val="FootnoteReference"/>
          <w:rFonts w:ascii="Times New Roman" w:hAnsi="Times New Roman" w:cs="Times New Roman"/>
        </w:rPr>
        <w:footnoteReference w:id="3"/>
      </w:r>
      <w:r w:rsidR="00C2210C" w:rsidRPr="00F36B06">
        <w:rPr>
          <w:rFonts w:ascii="Times New Roman" w:hAnsi="Times New Roman" w:cs="Times New Roman"/>
        </w:rPr>
        <w:t xml:space="preserve"> </w:t>
      </w:r>
      <w:r w:rsidR="001E0315" w:rsidRPr="00F36B06">
        <w:rPr>
          <w:rFonts w:ascii="Times New Roman" w:hAnsi="Times New Roman" w:cs="Times New Roman"/>
        </w:rPr>
        <w:t>M</w:t>
      </w:r>
      <w:r w:rsidR="008F71BB" w:rsidRPr="00F36B06">
        <w:rPr>
          <w:rFonts w:ascii="Times New Roman" w:hAnsi="Times New Roman" w:cs="Times New Roman"/>
        </w:rPr>
        <w:t>aksātnespējas proce</w:t>
      </w:r>
      <w:r w:rsidR="007F2A18" w:rsidRPr="00F36B06">
        <w:rPr>
          <w:rFonts w:ascii="Times New Roman" w:hAnsi="Times New Roman" w:cs="Times New Roman"/>
        </w:rPr>
        <w:t>sā</w:t>
      </w:r>
      <w:r w:rsidR="008F71BB" w:rsidRPr="00F36B06">
        <w:rPr>
          <w:rFonts w:ascii="Times New Roman" w:hAnsi="Times New Roman" w:cs="Times New Roman"/>
        </w:rPr>
        <w:t xml:space="preserve"> administrators nepastarpināti īsteno kreditoru kopuma intereses, kas vērstas uz maksimālu parādnieka saistību izpild</w:t>
      </w:r>
      <w:r w:rsidR="001E0315" w:rsidRPr="00F36B06">
        <w:rPr>
          <w:rFonts w:ascii="Times New Roman" w:hAnsi="Times New Roman" w:cs="Times New Roman"/>
        </w:rPr>
        <w:t>i</w:t>
      </w:r>
      <w:r w:rsidR="00080A64" w:rsidRPr="00F36B06">
        <w:rPr>
          <w:rFonts w:ascii="Times New Roman" w:hAnsi="Times New Roman" w:cs="Times New Roman"/>
        </w:rPr>
        <w:t>, līdz ar to</w:t>
      </w:r>
      <w:r w:rsidR="00E2516D" w:rsidRPr="00F36B06">
        <w:rPr>
          <w:rFonts w:ascii="Times New Roman" w:hAnsi="Times New Roman" w:cs="Times New Roman"/>
        </w:rPr>
        <w:t xml:space="preserve"> </w:t>
      </w:r>
      <w:r w:rsidR="002D71F8" w:rsidRPr="00F36B06">
        <w:rPr>
          <w:rFonts w:ascii="Times New Roman" w:hAnsi="Times New Roman" w:cs="Times New Roman"/>
        </w:rPr>
        <w:t>administrator</w:t>
      </w:r>
      <w:r w:rsidR="006D419F" w:rsidRPr="00F36B06">
        <w:rPr>
          <w:rFonts w:ascii="Times New Roman" w:hAnsi="Times New Roman" w:cs="Times New Roman"/>
        </w:rPr>
        <w:t>am</w:t>
      </w:r>
      <w:r w:rsidR="002D71F8" w:rsidRPr="00F36B06">
        <w:rPr>
          <w:rFonts w:ascii="Times New Roman" w:hAnsi="Times New Roman" w:cs="Times New Roman"/>
        </w:rPr>
        <w:t xml:space="preserve"> </w:t>
      </w:r>
      <w:r w:rsidR="006D419F" w:rsidRPr="00F36B06">
        <w:rPr>
          <w:rFonts w:ascii="Times New Roman" w:hAnsi="Times New Roman" w:cs="Times New Roman"/>
        </w:rPr>
        <w:t>jā</w:t>
      </w:r>
      <w:r w:rsidR="002D71F8" w:rsidRPr="00F36B06">
        <w:rPr>
          <w:rFonts w:ascii="Times New Roman" w:hAnsi="Times New Roman" w:cs="Times New Roman"/>
        </w:rPr>
        <w:t>nodrošina efektīv</w:t>
      </w:r>
      <w:r w:rsidR="006D419F" w:rsidRPr="00F36B06">
        <w:rPr>
          <w:rFonts w:ascii="Times New Roman" w:hAnsi="Times New Roman" w:cs="Times New Roman"/>
        </w:rPr>
        <w:t>a</w:t>
      </w:r>
      <w:r w:rsidR="002D71F8" w:rsidRPr="00F36B06">
        <w:rPr>
          <w:rFonts w:ascii="Times New Roman" w:hAnsi="Times New Roman" w:cs="Times New Roman"/>
        </w:rPr>
        <w:t xml:space="preserve"> un likumīg</w:t>
      </w:r>
      <w:r w:rsidR="006D419F" w:rsidRPr="00F36B06">
        <w:rPr>
          <w:rFonts w:ascii="Times New Roman" w:hAnsi="Times New Roman" w:cs="Times New Roman"/>
        </w:rPr>
        <w:t>a</w:t>
      </w:r>
      <w:r w:rsidR="002D71F8" w:rsidRPr="00F36B06">
        <w:rPr>
          <w:rFonts w:ascii="Times New Roman" w:hAnsi="Times New Roman" w:cs="Times New Roman"/>
        </w:rPr>
        <w:t xml:space="preserve"> juridiskās personas maksātnespējas procesa noris</w:t>
      </w:r>
      <w:r w:rsidR="006D419F" w:rsidRPr="00F36B06">
        <w:rPr>
          <w:rFonts w:ascii="Times New Roman" w:hAnsi="Times New Roman" w:cs="Times New Roman"/>
        </w:rPr>
        <w:t>e</w:t>
      </w:r>
      <w:r w:rsidR="002D71F8" w:rsidRPr="00F36B06">
        <w:rPr>
          <w:rFonts w:ascii="Times New Roman" w:hAnsi="Times New Roman" w:cs="Times New Roman"/>
        </w:rPr>
        <w:t xml:space="preserve"> un mērķu sasniegšan</w:t>
      </w:r>
      <w:r w:rsidR="006D419F" w:rsidRPr="00F36B06">
        <w:rPr>
          <w:rFonts w:ascii="Times New Roman" w:hAnsi="Times New Roman" w:cs="Times New Roman"/>
        </w:rPr>
        <w:t>a</w:t>
      </w:r>
      <w:r w:rsidR="002D71F8" w:rsidRPr="00F36B06">
        <w:rPr>
          <w:rFonts w:ascii="Times New Roman" w:hAnsi="Times New Roman" w:cs="Times New Roman"/>
        </w:rPr>
        <w:t>.</w:t>
      </w:r>
      <w:r w:rsidR="00E2516D" w:rsidRPr="00F36B06">
        <w:rPr>
          <w:rStyle w:val="FootnoteReference"/>
          <w:rFonts w:ascii="Times New Roman" w:hAnsi="Times New Roman" w:cs="Times New Roman"/>
        </w:rPr>
        <w:footnoteReference w:id="4"/>
      </w:r>
      <w:r w:rsidR="00F2433E" w:rsidRPr="00F36B06">
        <w:rPr>
          <w:rFonts w:ascii="Times New Roman" w:hAnsi="Times New Roman" w:cs="Times New Roman"/>
        </w:rPr>
        <w:t xml:space="preserve"> </w:t>
      </w:r>
    </w:p>
    <w:p w14:paraId="22BDEC3B" w14:textId="46910E78" w:rsidR="00435800" w:rsidRPr="00F36B06" w:rsidRDefault="00A377D2" w:rsidP="00921052">
      <w:pPr>
        <w:spacing w:after="0" w:line="240" w:lineRule="auto"/>
        <w:ind w:firstLine="720"/>
        <w:jc w:val="both"/>
        <w:rPr>
          <w:rFonts w:ascii="Times New Roman" w:hAnsi="Times New Roman" w:cs="Times New Roman"/>
        </w:rPr>
      </w:pPr>
      <w:r w:rsidRPr="00F36B06">
        <w:rPr>
          <w:rFonts w:ascii="Times New Roman" w:hAnsi="Times New Roman" w:cs="Times New Roman"/>
        </w:rPr>
        <w:t>M</w:t>
      </w:r>
      <w:r w:rsidR="00435800" w:rsidRPr="00F36B06">
        <w:rPr>
          <w:rFonts w:ascii="Times New Roman" w:hAnsi="Times New Roman" w:cs="Times New Roman"/>
        </w:rPr>
        <w:t xml:space="preserve">aksātnespējas process tiek virzīts kreditoru interesēs, </w:t>
      </w:r>
      <w:r w:rsidR="00A64171" w:rsidRPr="00F36B06">
        <w:rPr>
          <w:rFonts w:ascii="Times New Roman" w:hAnsi="Times New Roman" w:cs="Times New Roman"/>
        </w:rPr>
        <w:t xml:space="preserve">līdz ar to </w:t>
      </w:r>
      <w:r w:rsidR="00601E41" w:rsidRPr="00F36B06">
        <w:rPr>
          <w:rFonts w:ascii="Times New Roman" w:hAnsi="Times New Roman" w:cs="Times New Roman"/>
        </w:rPr>
        <w:t>viens no galvenajiem</w:t>
      </w:r>
      <w:r w:rsidR="00435800" w:rsidRPr="00F36B06">
        <w:rPr>
          <w:rFonts w:ascii="Times New Roman" w:hAnsi="Times New Roman" w:cs="Times New Roman"/>
        </w:rPr>
        <w:t xml:space="preserve"> administrator</w:t>
      </w:r>
      <w:r w:rsidR="00601E41" w:rsidRPr="00F36B06">
        <w:rPr>
          <w:rFonts w:ascii="Times New Roman" w:hAnsi="Times New Roman" w:cs="Times New Roman"/>
        </w:rPr>
        <w:t>a pienākumiem ir</w:t>
      </w:r>
      <w:r w:rsidR="00435800" w:rsidRPr="00F36B06">
        <w:rPr>
          <w:rFonts w:ascii="Times New Roman" w:hAnsi="Times New Roman" w:cs="Times New Roman"/>
        </w:rPr>
        <w:t xml:space="preserve"> pieņem</w:t>
      </w:r>
      <w:r w:rsidR="00601E41" w:rsidRPr="00F36B06">
        <w:rPr>
          <w:rFonts w:ascii="Times New Roman" w:hAnsi="Times New Roman" w:cs="Times New Roman"/>
        </w:rPr>
        <w:t>t</w:t>
      </w:r>
      <w:r w:rsidR="00435800" w:rsidRPr="00F36B06">
        <w:rPr>
          <w:rFonts w:ascii="Times New Roman" w:hAnsi="Times New Roman" w:cs="Times New Roman"/>
        </w:rPr>
        <w:t>, reģistrē</w:t>
      </w:r>
      <w:r w:rsidR="00EE007E" w:rsidRPr="00F36B06">
        <w:rPr>
          <w:rFonts w:ascii="Times New Roman" w:hAnsi="Times New Roman" w:cs="Times New Roman"/>
        </w:rPr>
        <w:t>t</w:t>
      </w:r>
      <w:r w:rsidR="00435800" w:rsidRPr="00F36B06">
        <w:rPr>
          <w:rFonts w:ascii="Times New Roman" w:hAnsi="Times New Roman" w:cs="Times New Roman"/>
        </w:rPr>
        <w:t xml:space="preserve"> un pārbaud</w:t>
      </w:r>
      <w:r w:rsidR="00EE007E" w:rsidRPr="00F36B06">
        <w:rPr>
          <w:rFonts w:ascii="Times New Roman" w:hAnsi="Times New Roman" w:cs="Times New Roman"/>
        </w:rPr>
        <w:t xml:space="preserve">īt </w:t>
      </w:r>
      <w:r w:rsidR="00435800" w:rsidRPr="00F36B06">
        <w:rPr>
          <w:rFonts w:ascii="Times New Roman" w:hAnsi="Times New Roman" w:cs="Times New Roman"/>
        </w:rPr>
        <w:t>kreditoru prasījumus.</w:t>
      </w:r>
      <w:r w:rsidR="00435800" w:rsidRPr="00F36B06">
        <w:rPr>
          <w:rStyle w:val="FootnoteReference"/>
          <w:rFonts w:ascii="Times New Roman" w:hAnsi="Times New Roman" w:cs="Times New Roman"/>
        </w:rPr>
        <w:footnoteReference w:id="5"/>
      </w:r>
      <w:r w:rsidR="00435800" w:rsidRPr="00F36B06">
        <w:rPr>
          <w:rFonts w:ascii="Times New Roman" w:hAnsi="Times New Roman" w:cs="Times New Roman"/>
        </w:rPr>
        <w:t xml:space="preserve"> </w:t>
      </w:r>
      <w:r w:rsidR="00670A96" w:rsidRPr="00F36B06">
        <w:rPr>
          <w:rFonts w:ascii="Times New Roman" w:hAnsi="Times New Roman" w:cs="Times New Roman"/>
        </w:rPr>
        <w:t>Maksātnespējas procesā aktīvi piedalās</w:t>
      </w:r>
      <w:r w:rsidR="0056635F" w:rsidRPr="00F36B06">
        <w:rPr>
          <w:rFonts w:ascii="Times New Roman" w:hAnsi="Times New Roman" w:cs="Times New Roman"/>
        </w:rPr>
        <w:t xml:space="preserve"> un</w:t>
      </w:r>
      <w:r w:rsidR="00076994" w:rsidRPr="00F36B06">
        <w:rPr>
          <w:rFonts w:ascii="Times New Roman" w:hAnsi="Times New Roman" w:cs="Times New Roman"/>
        </w:rPr>
        <w:t xml:space="preserve"> uz </w:t>
      </w:r>
      <w:r w:rsidR="00621F15" w:rsidRPr="00F36B06">
        <w:rPr>
          <w:rFonts w:ascii="Times New Roman" w:hAnsi="Times New Roman" w:cs="Times New Roman"/>
        </w:rPr>
        <w:t xml:space="preserve">sava </w:t>
      </w:r>
      <w:r w:rsidR="00076994" w:rsidRPr="00F36B06">
        <w:rPr>
          <w:rFonts w:ascii="Times New Roman" w:hAnsi="Times New Roman" w:cs="Times New Roman"/>
        </w:rPr>
        <w:t>prasījuma apmierināšanu var pretendēt</w:t>
      </w:r>
      <w:r w:rsidR="00670A96" w:rsidRPr="00F36B06">
        <w:rPr>
          <w:rFonts w:ascii="Times New Roman" w:hAnsi="Times New Roman" w:cs="Times New Roman"/>
        </w:rPr>
        <w:t xml:space="preserve"> tikai </w:t>
      </w:r>
      <w:r w:rsidR="001E1B26" w:rsidRPr="00F36B06">
        <w:rPr>
          <w:rFonts w:ascii="Times New Roman" w:hAnsi="Times New Roman" w:cs="Times New Roman"/>
        </w:rPr>
        <w:t xml:space="preserve">tādi kreditori, </w:t>
      </w:r>
      <w:r w:rsidR="002044EC" w:rsidRPr="00F36B06">
        <w:rPr>
          <w:rFonts w:ascii="Times New Roman" w:hAnsi="Times New Roman" w:cs="Times New Roman"/>
        </w:rPr>
        <w:t>par</w:t>
      </w:r>
      <w:r w:rsidR="001E1B26" w:rsidRPr="00F36B06">
        <w:rPr>
          <w:rFonts w:ascii="Times New Roman" w:hAnsi="Times New Roman" w:cs="Times New Roman"/>
        </w:rPr>
        <w:t xml:space="preserve"> kuriem administrators </w:t>
      </w:r>
      <w:r w:rsidR="009B2A00" w:rsidRPr="00F36B06">
        <w:rPr>
          <w:rFonts w:ascii="Times New Roman" w:hAnsi="Times New Roman" w:cs="Times New Roman"/>
        </w:rPr>
        <w:t xml:space="preserve">ir </w:t>
      </w:r>
      <w:r w:rsidR="00C85063" w:rsidRPr="00F36B06">
        <w:rPr>
          <w:rFonts w:ascii="Times New Roman" w:hAnsi="Times New Roman" w:cs="Times New Roman"/>
        </w:rPr>
        <w:t>pieņēmis</w:t>
      </w:r>
      <w:r w:rsidR="009B2A00" w:rsidRPr="00F36B06">
        <w:rPr>
          <w:rFonts w:ascii="Times New Roman" w:hAnsi="Times New Roman" w:cs="Times New Roman"/>
        </w:rPr>
        <w:t xml:space="preserve"> lēmumu par kreditoru prasījuma atzīšanu pilnībā vai daļā.</w:t>
      </w:r>
      <w:r w:rsidR="000D6700" w:rsidRPr="00F36B06">
        <w:rPr>
          <w:rStyle w:val="FootnoteReference"/>
          <w:rFonts w:ascii="Times New Roman" w:hAnsi="Times New Roman" w:cs="Times New Roman"/>
        </w:rPr>
        <w:footnoteReference w:id="6"/>
      </w:r>
      <w:r w:rsidR="009B2A00" w:rsidRPr="00F36B06">
        <w:rPr>
          <w:rFonts w:ascii="Times New Roman" w:hAnsi="Times New Roman" w:cs="Times New Roman"/>
        </w:rPr>
        <w:t xml:space="preserve"> </w:t>
      </w:r>
      <w:r w:rsidR="00435800" w:rsidRPr="00F36B06">
        <w:rPr>
          <w:rFonts w:ascii="Times New Roman" w:hAnsi="Times New Roman" w:cs="Times New Roman"/>
        </w:rPr>
        <w:t xml:space="preserve">Kopējais atzīto kreditoru prasījumu apmērs pētījuma ietvaros analizētajos procesos </w:t>
      </w:r>
      <w:r w:rsidR="00F32CD4" w:rsidRPr="00F36B06">
        <w:rPr>
          <w:rFonts w:ascii="Times New Roman" w:hAnsi="Times New Roman" w:cs="Times New Roman"/>
        </w:rPr>
        <w:t xml:space="preserve">veido </w:t>
      </w:r>
      <w:r w:rsidR="00435800" w:rsidRPr="00F36B06">
        <w:rPr>
          <w:rFonts w:ascii="Times New Roman" w:hAnsi="Times New Roman" w:cs="Times New Roman"/>
        </w:rPr>
        <w:t>180 850 85</w:t>
      </w:r>
      <w:r w:rsidR="0076550C">
        <w:rPr>
          <w:rFonts w:ascii="Times New Roman" w:hAnsi="Times New Roman" w:cs="Times New Roman"/>
        </w:rPr>
        <w:t>6</w:t>
      </w:r>
      <w:r w:rsidR="00435800" w:rsidRPr="00F36B06">
        <w:rPr>
          <w:rFonts w:ascii="Times New Roman" w:hAnsi="Times New Roman" w:cs="Times New Roman"/>
        </w:rPr>
        <w:t> </w:t>
      </w:r>
      <w:proofErr w:type="spellStart"/>
      <w:r w:rsidR="00435800" w:rsidRPr="00F36B06">
        <w:rPr>
          <w:rFonts w:ascii="Times New Roman" w:hAnsi="Times New Roman" w:cs="Times New Roman"/>
          <w:i/>
          <w:iCs/>
        </w:rPr>
        <w:t>euro</w:t>
      </w:r>
      <w:proofErr w:type="spellEnd"/>
      <w:r w:rsidR="00435800" w:rsidRPr="00F36B06">
        <w:rPr>
          <w:rFonts w:ascii="Times New Roman" w:hAnsi="Times New Roman" w:cs="Times New Roman"/>
        </w:rPr>
        <w:t xml:space="preserve">. </w:t>
      </w:r>
      <w:r w:rsidR="00C7198A">
        <w:rPr>
          <w:rFonts w:ascii="Times New Roman" w:hAnsi="Times New Roman" w:cs="Times New Roman"/>
        </w:rPr>
        <w:t>Savukārt</w:t>
      </w:r>
      <w:r w:rsidR="00435800" w:rsidRPr="00F36B06">
        <w:rPr>
          <w:rFonts w:ascii="Times New Roman" w:hAnsi="Times New Roman" w:cs="Times New Roman"/>
        </w:rPr>
        <w:t xml:space="preserve"> kopējais apmierināto kreditoru prasījumu apmērs </w:t>
      </w:r>
      <w:r w:rsidR="00DF061D" w:rsidRPr="00F36B06">
        <w:rPr>
          <w:rFonts w:ascii="Times New Roman" w:hAnsi="Times New Roman" w:cs="Times New Roman"/>
        </w:rPr>
        <w:t xml:space="preserve">ir </w:t>
      </w:r>
      <w:r w:rsidR="00435800" w:rsidRPr="00F36B06">
        <w:rPr>
          <w:rFonts w:ascii="Times New Roman" w:hAnsi="Times New Roman" w:cs="Times New Roman"/>
        </w:rPr>
        <w:t>9 549 36</w:t>
      </w:r>
      <w:r w:rsidR="0076550C">
        <w:rPr>
          <w:rFonts w:ascii="Times New Roman" w:hAnsi="Times New Roman" w:cs="Times New Roman"/>
        </w:rPr>
        <w:t>6</w:t>
      </w:r>
      <w:r w:rsidR="00435800" w:rsidRPr="00F36B06">
        <w:rPr>
          <w:rFonts w:ascii="Times New Roman" w:hAnsi="Times New Roman" w:cs="Times New Roman"/>
        </w:rPr>
        <w:t> </w:t>
      </w:r>
      <w:proofErr w:type="spellStart"/>
      <w:r w:rsidR="00435800" w:rsidRPr="00F36B06">
        <w:rPr>
          <w:rFonts w:ascii="Times New Roman" w:hAnsi="Times New Roman" w:cs="Times New Roman"/>
          <w:i/>
          <w:iCs/>
        </w:rPr>
        <w:t>euro</w:t>
      </w:r>
      <w:proofErr w:type="spellEnd"/>
      <w:r w:rsidR="00435800" w:rsidRPr="00F36B06">
        <w:rPr>
          <w:rFonts w:ascii="Times New Roman" w:hAnsi="Times New Roman" w:cs="Times New Roman"/>
        </w:rPr>
        <w:t xml:space="preserve"> (5</w:t>
      </w:r>
      <w:r w:rsidR="001174A8" w:rsidRPr="00F36B06">
        <w:rPr>
          <w:rFonts w:ascii="Times New Roman" w:hAnsi="Times New Roman" w:cs="Times New Roman"/>
        </w:rPr>
        <w:t> </w:t>
      </w:r>
      <w:r w:rsidR="00435800" w:rsidRPr="00F36B06">
        <w:rPr>
          <w:rFonts w:ascii="Times New Roman" w:hAnsi="Times New Roman" w:cs="Times New Roman"/>
        </w:rPr>
        <w:t>%) no kopējās atzīto kreditoru prasījumu summas</w:t>
      </w:r>
      <w:r w:rsidR="00BA417D">
        <w:rPr>
          <w:rFonts w:ascii="Times New Roman" w:hAnsi="Times New Roman" w:cs="Times New Roman"/>
        </w:rPr>
        <w:t>.</w:t>
      </w:r>
    </w:p>
    <w:p w14:paraId="63E269E2" w14:textId="77777777" w:rsidR="005D387D" w:rsidRPr="00F36B06" w:rsidRDefault="005D387D" w:rsidP="00435800">
      <w:pPr>
        <w:spacing w:after="0" w:line="240" w:lineRule="auto"/>
        <w:ind w:firstLine="720"/>
        <w:jc w:val="both"/>
        <w:rPr>
          <w:rFonts w:ascii="Times New Roman" w:hAnsi="Times New Roman" w:cs="Times New Roman"/>
        </w:rPr>
      </w:pPr>
    </w:p>
    <w:p w14:paraId="303956A6" w14:textId="457D3649" w:rsidR="00435800" w:rsidRPr="00F36B06" w:rsidRDefault="00C65852" w:rsidP="008B735A">
      <w:pPr>
        <w:spacing w:after="0" w:line="240" w:lineRule="auto"/>
        <w:ind w:firstLine="720"/>
        <w:jc w:val="both"/>
        <w:rPr>
          <w:rFonts w:ascii="Times New Roman" w:hAnsi="Times New Roman" w:cs="Times New Roman"/>
        </w:rPr>
      </w:pPr>
      <w:r w:rsidRPr="00F36B06">
        <w:rPr>
          <w:rFonts w:ascii="Times New Roman" w:hAnsi="Times New Roman" w:cs="Times New Roman"/>
        </w:rPr>
        <w:t>No maksātnespējas definīcijas izriet</w:t>
      </w:r>
      <w:r w:rsidR="00B502A0" w:rsidRPr="00F36B06">
        <w:rPr>
          <w:rFonts w:ascii="Times New Roman" w:hAnsi="Times New Roman" w:cs="Times New Roman"/>
        </w:rPr>
        <w:t>, ka</w:t>
      </w:r>
      <w:r w:rsidR="00D05503" w:rsidRPr="00F36B06">
        <w:rPr>
          <w:rFonts w:ascii="Times New Roman" w:hAnsi="Times New Roman" w:cs="Times New Roman"/>
        </w:rPr>
        <w:t xml:space="preserve"> </w:t>
      </w:r>
      <w:r w:rsidR="00232803" w:rsidRPr="00F36B06">
        <w:rPr>
          <w:rFonts w:ascii="Times New Roman" w:hAnsi="Times New Roman" w:cs="Times New Roman"/>
        </w:rPr>
        <w:t xml:space="preserve">maksātnespējas </w:t>
      </w:r>
      <w:r w:rsidR="00E91E22" w:rsidRPr="00F36B06">
        <w:rPr>
          <w:rFonts w:ascii="Times New Roman" w:hAnsi="Times New Roman" w:cs="Times New Roman"/>
        </w:rPr>
        <w:t>gadījumā</w:t>
      </w:r>
      <w:r w:rsidR="00EA71A6" w:rsidRPr="00F36B06">
        <w:rPr>
          <w:rFonts w:ascii="Times New Roman" w:hAnsi="Times New Roman" w:cs="Times New Roman"/>
        </w:rPr>
        <w:t xml:space="preserve"> nav iespējams nodrošināt iznākumu, kad</w:t>
      </w:r>
      <w:r w:rsidR="00300D3D" w:rsidRPr="00F36B06">
        <w:rPr>
          <w:rFonts w:ascii="Times New Roman" w:hAnsi="Times New Roman" w:cs="Times New Roman"/>
        </w:rPr>
        <w:t xml:space="preserve"> apmierināt</w:t>
      </w:r>
      <w:r w:rsidR="00136597" w:rsidRPr="00F36B06">
        <w:rPr>
          <w:rFonts w:ascii="Times New Roman" w:hAnsi="Times New Roman" w:cs="Times New Roman"/>
        </w:rPr>
        <w:t>o</w:t>
      </w:r>
      <w:r w:rsidR="00300D3D" w:rsidRPr="00F36B06">
        <w:rPr>
          <w:rFonts w:ascii="Times New Roman" w:hAnsi="Times New Roman" w:cs="Times New Roman"/>
        </w:rPr>
        <w:t xml:space="preserve"> kreditoru prasījumu summa ir vienāda vai tuvojas atzīto kreditoru prasījumu summa</w:t>
      </w:r>
      <w:r w:rsidR="002D2822" w:rsidRPr="00F36B06">
        <w:rPr>
          <w:rFonts w:ascii="Times New Roman" w:hAnsi="Times New Roman" w:cs="Times New Roman"/>
        </w:rPr>
        <w:t>i</w:t>
      </w:r>
      <w:r w:rsidR="00A7672D" w:rsidRPr="00F36B06">
        <w:rPr>
          <w:rFonts w:ascii="Times New Roman" w:hAnsi="Times New Roman" w:cs="Times New Roman"/>
        </w:rPr>
        <w:t>.</w:t>
      </w:r>
      <w:r w:rsidR="00FF2279" w:rsidRPr="00F36B06">
        <w:rPr>
          <w:rFonts w:ascii="Times New Roman" w:hAnsi="Times New Roman" w:cs="Times New Roman"/>
        </w:rPr>
        <w:t xml:space="preserve"> </w:t>
      </w:r>
      <w:r w:rsidR="00A7672D" w:rsidRPr="00F36B06">
        <w:rPr>
          <w:rFonts w:ascii="Times New Roman" w:hAnsi="Times New Roman" w:cs="Times New Roman"/>
        </w:rPr>
        <w:t>T</w:t>
      </w:r>
      <w:r w:rsidR="00FF2279" w:rsidRPr="00F36B06">
        <w:rPr>
          <w:rFonts w:ascii="Times New Roman" w:hAnsi="Times New Roman" w:cs="Times New Roman"/>
        </w:rPr>
        <w:t xml:space="preserve">omēr būtu nepieciešams </w:t>
      </w:r>
      <w:r w:rsidR="00655859" w:rsidRPr="00F36B06">
        <w:rPr>
          <w:rFonts w:ascii="Times New Roman" w:hAnsi="Times New Roman" w:cs="Times New Roman"/>
        </w:rPr>
        <w:t xml:space="preserve">veikt analīzi, </w:t>
      </w:r>
      <w:r w:rsidR="00154620" w:rsidRPr="00F36B06">
        <w:rPr>
          <w:rFonts w:ascii="Times New Roman" w:hAnsi="Times New Roman" w:cs="Times New Roman"/>
        </w:rPr>
        <w:t xml:space="preserve">vai </w:t>
      </w:r>
      <w:r w:rsidR="00185F18" w:rsidRPr="00F36B06">
        <w:rPr>
          <w:rFonts w:ascii="Times New Roman" w:hAnsi="Times New Roman" w:cs="Times New Roman"/>
        </w:rPr>
        <w:t>un kā</w:t>
      </w:r>
      <w:r w:rsidR="0011212C" w:rsidRPr="00F36B06">
        <w:rPr>
          <w:rFonts w:ascii="Times New Roman" w:hAnsi="Times New Roman" w:cs="Times New Roman"/>
        </w:rPr>
        <w:t xml:space="preserve"> </w:t>
      </w:r>
      <w:r w:rsidR="00C76087">
        <w:rPr>
          <w:rFonts w:ascii="Times New Roman" w:hAnsi="Times New Roman" w:cs="Times New Roman"/>
        </w:rPr>
        <w:t>apmierināto kreditoru prasījumu apmēru</w:t>
      </w:r>
      <w:r w:rsidR="002B0D34" w:rsidRPr="00F36B06">
        <w:rPr>
          <w:rFonts w:ascii="Times New Roman" w:hAnsi="Times New Roman" w:cs="Times New Roman"/>
        </w:rPr>
        <w:t xml:space="preserve"> ietekmē </w:t>
      </w:r>
      <w:r w:rsidR="0011212C" w:rsidRPr="00F36B06">
        <w:rPr>
          <w:rFonts w:ascii="Times New Roman" w:hAnsi="Times New Roman" w:cs="Times New Roman"/>
        </w:rPr>
        <w:t xml:space="preserve">zaudējumu atlīdzības </w:t>
      </w:r>
      <w:r w:rsidR="00D76847" w:rsidRPr="00F36B06">
        <w:rPr>
          <w:rFonts w:ascii="Times New Roman" w:hAnsi="Times New Roman" w:cs="Times New Roman"/>
        </w:rPr>
        <w:t>prasījumu celšana</w:t>
      </w:r>
      <w:r w:rsidR="002B0D34" w:rsidRPr="00F36B06">
        <w:rPr>
          <w:rFonts w:ascii="Times New Roman" w:hAnsi="Times New Roman" w:cs="Times New Roman"/>
        </w:rPr>
        <w:t>s efektivitāte</w:t>
      </w:r>
      <w:r w:rsidR="00655859" w:rsidRPr="00F36B06">
        <w:rPr>
          <w:rFonts w:ascii="Times New Roman" w:hAnsi="Times New Roman" w:cs="Times New Roman"/>
        </w:rPr>
        <w:t>.</w:t>
      </w:r>
    </w:p>
    <w:p w14:paraId="4C30BAC3" w14:textId="1769841A" w:rsidR="00CE0C96" w:rsidRPr="00F36B06" w:rsidRDefault="00DD41E0"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J</w:t>
      </w:r>
      <w:r w:rsidR="00F2433E" w:rsidRPr="00F36B06">
        <w:rPr>
          <w:rFonts w:ascii="Times New Roman" w:hAnsi="Times New Roman" w:cs="Times New Roman"/>
        </w:rPr>
        <w:t>uridiskās personas maksātnespējas proces</w:t>
      </w:r>
      <w:r w:rsidR="005A76E0" w:rsidRPr="00F36B06">
        <w:rPr>
          <w:rFonts w:ascii="Times New Roman" w:hAnsi="Times New Roman" w:cs="Times New Roman"/>
        </w:rPr>
        <w:t>ā</w:t>
      </w:r>
      <w:r w:rsidR="00F2433E" w:rsidRPr="00F36B06">
        <w:rPr>
          <w:rFonts w:ascii="Times New Roman" w:hAnsi="Times New Roman" w:cs="Times New Roman"/>
        </w:rPr>
        <w:t xml:space="preserve"> kreditoru prasījumi tiek apmierināti no parādnieka – juridiskās personas</w:t>
      </w:r>
      <w:r w:rsidR="000B65FB" w:rsidRPr="00F36B06">
        <w:rPr>
          <w:rFonts w:ascii="Times New Roman" w:hAnsi="Times New Roman" w:cs="Times New Roman"/>
        </w:rPr>
        <w:t>,</w:t>
      </w:r>
      <w:r w:rsidR="00F2433E" w:rsidRPr="00F36B06">
        <w:rPr>
          <w:rFonts w:ascii="Times New Roman" w:hAnsi="Times New Roman" w:cs="Times New Roman"/>
        </w:rPr>
        <w:t xml:space="preserve"> mantas</w:t>
      </w:r>
      <w:r w:rsidR="00D86A8A" w:rsidRPr="00F36B06">
        <w:rPr>
          <w:rFonts w:ascii="Times New Roman" w:hAnsi="Times New Roman" w:cs="Times New Roman"/>
        </w:rPr>
        <w:t>,</w:t>
      </w:r>
      <w:r w:rsidR="0041600C" w:rsidRPr="00F36B06">
        <w:rPr>
          <w:rFonts w:ascii="Times New Roman" w:hAnsi="Times New Roman" w:cs="Times New Roman"/>
        </w:rPr>
        <w:t xml:space="preserve"> </w:t>
      </w:r>
      <w:r w:rsidR="00857618" w:rsidRPr="00F36B06">
        <w:rPr>
          <w:rFonts w:ascii="Times New Roman" w:hAnsi="Times New Roman" w:cs="Times New Roman"/>
        </w:rPr>
        <w:t xml:space="preserve">līdz ar to </w:t>
      </w:r>
      <w:r w:rsidR="00FF4BED" w:rsidRPr="00F36B06">
        <w:rPr>
          <w:rFonts w:ascii="Times New Roman" w:hAnsi="Times New Roman" w:cs="Times New Roman"/>
        </w:rPr>
        <w:t>M</w:t>
      </w:r>
      <w:r w:rsidR="00210C0C" w:rsidRPr="00F36B06">
        <w:rPr>
          <w:rFonts w:ascii="Times New Roman" w:hAnsi="Times New Roman" w:cs="Times New Roman"/>
        </w:rPr>
        <w:t xml:space="preserve">aksātnespējas </w:t>
      </w:r>
      <w:r w:rsidR="00E5048F" w:rsidRPr="00F36B06">
        <w:rPr>
          <w:rFonts w:ascii="Times New Roman" w:hAnsi="Times New Roman" w:cs="Times New Roman"/>
        </w:rPr>
        <w:t>likums</w:t>
      </w:r>
      <w:r w:rsidR="00210C0C" w:rsidRPr="00F36B06">
        <w:rPr>
          <w:rFonts w:ascii="Times New Roman" w:hAnsi="Times New Roman" w:cs="Times New Roman"/>
        </w:rPr>
        <w:t xml:space="preserve"> uzliek administratoram virkni pienākumu,</w:t>
      </w:r>
      <w:r w:rsidR="00CD7171" w:rsidRPr="00F36B06">
        <w:rPr>
          <w:rFonts w:ascii="Times New Roman" w:hAnsi="Times New Roman" w:cs="Times New Roman"/>
        </w:rPr>
        <w:t xml:space="preserve"> lai nodrošinātu </w:t>
      </w:r>
      <w:r w:rsidR="00D250AE" w:rsidRPr="00F36B06">
        <w:rPr>
          <w:rFonts w:ascii="Times New Roman" w:hAnsi="Times New Roman" w:cs="Times New Roman"/>
        </w:rPr>
        <w:t>tās</w:t>
      </w:r>
      <w:r w:rsidR="00CD7171" w:rsidRPr="00F36B06">
        <w:rPr>
          <w:rFonts w:ascii="Times New Roman" w:hAnsi="Times New Roman" w:cs="Times New Roman"/>
        </w:rPr>
        <w:t xml:space="preserve"> saglabāšanu un atgūšanu. </w:t>
      </w:r>
    </w:p>
    <w:p w14:paraId="4CC3BB4A" w14:textId="6A378370" w:rsidR="00F9151C" w:rsidRPr="00F36B06" w:rsidRDefault="00C81030"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Parādnieka mantas un saistību apzināšanai administrators nekavējoties</w:t>
      </w:r>
      <w:r w:rsidR="00BF6AC3" w:rsidRPr="00F36B06">
        <w:rPr>
          <w:rFonts w:ascii="Times New Roman" w:hAnsi="Times New Roman" w:cs="Times New Roman"/>
        </w:rPr>
        <w:t xml:space="preserve"> pēc</w:t>
      </w:r>
      <w:r w:rsidR="007004E1" w:rsidRPr="00F36B06">
        <w:rPr>
          <w:rFonts w:ascii="Times New Roman" w:hAnsi="Times New Roman" w:cs="Times New Roman"/>
        </w:rPr>
        <w:t xml:space="preserve"> juridiskās personas</w:t>
      </w:r>
      <w:r w:rsidR="00BF6AC3" w:rsidRPr="00F36B06">
        <w:rPr>
          <w:rFonts w:ascii="Times New Roman" w:hAnsi="Times New Roman" w:cs="Times New Roman"/>
        </w:rPr>
        <w:t xml:space="preserve"> maksātnespējas</w:t>
      </w:r>
      <w:r w:rsidR="00EE57DE" w:rsidRPr="00F36B06">
        <w:rPr>
          <w:rFonts w:ascii="Times New Roman" w:hAnsi="Times New Roman" w:cs="Times New Roman"/>
        </w:rPr>
        <w:t xml:space="preserve"> procesa pasludināšanas</w:t>
      </w:r>
      <w:r w:rsidR="00BF6AC3" w:rsidRPr="00F36B06">
        <w:rPr>
          <w:rFonts w:ascii="Times New Roman" w:hAnsi="Times New Roman" w:cs="Times New Roman"/>
        </w:rPr>
        <w:t xml:space="preserve"> </w:t>
      </w:r>
      <w:r w:rsidR="00102A1D" w:rsidRPr="00F36B06">
        <w:rPr>
          <w:rFonts w:ascii="Times New Roman" w:hAnsi="Times New Roman" w:cs="Times New Roman"/>
        </w:rPr>
        <w:t>uzsāk parādnieka dokumentu un mantas pilnu inventarizāciju un sastāda parādnieka bilanci</w:t>
      </w:r>
      <w:r w:rsidR="00EE57DE" w:rsidRPr="00F36B06">
        <w:rPr>
          <w:rStyle w:val="FootnoteReference"/>
          <w:rFonts w:ascii="Times New Roman" w:hAnsi="Times New Roman" w:cs="Times New Roman"/>
        </w:rPr>
        <w:footnoteReference w:id="7"/>
      </w:r>
      <w:r w:rsidR="00EE57DE" w:rsidRPr="00F36B06">
        <w:rPr>
          <w:rFonts w:ascii="Times New Roman" w:hAnsi="Times New Roman" w:cs="Times New Roman"/>
        </w:rPr>
        <w:t xml:space="preserve">. </w:t>
      </w:r>
      <w:r w:rsidR="000215FC" w:rsidRPr="00F36B06">
        <w:rPr>
          <w:rFonts w:ascii="Times New Roman" w:hAnsi="Times New Roman" w:cs="Times New Roman"/>
        </w:rPr>
        <w:t xml:space="preserve">Atkarībā no faktiskās situācijas atbilstoši Maksātnespējas likuma normām administrators sagatavo </w:t>
      </w:r>
      <w:r w:rsidR="008F3761" w:rsidRPr="00F36B06">
        <w:rPr>
          <w:rFonts w:ascii="Times New Roman" w:hAnsi="Times New Roman" w:cs="Times New Roman"/>
        </w:rPr>
        <w:t xml:space="preserve">MPP </w:t>
      </w:r>
      <w:r w:rsidR="00F0699D" w:rsidRPr="00F36B06">
        <w:rPr>
          <w:rFonts w:ascii="Times New Roman" w:hAnsi="Times New Roman" w:cs="Times New Roman"/>
        </w:rPr>
        <w:t>– ja parādnieka mantas apmērs ir vienāds vai lielāks par depozīta apmēru</w:t>
      </w:r>
      <w:r w:rsidR="005E32BC" w:rsidRPr="00F36B06">
        <w:rPr>
          <w:rStyle w:val="FootnoteReference"/>
          <w:rFonts w:ascii="Times New Roman" w:hAnsi="Times New Roman" w:cs="Times New Roman"/>
        </w:rPr>
        <w:footnoteReference w:id="8"/>
      </w:r>
      <w:r w:rsidR="00F0699D" w:rsidRPr="00F36B06">
        <w:rPr>
          <w:rFonts w:ascii="Times New Roman" w:hAnsi="Times New Roman" w:cs="Times New Roman"/>
        </w:rPr>
        <w:t>, vai arī ZP</w:t>
      </w:r>
      <w:r w:rsidR="007163F6" w:rsidRPr="00F36B06">
        <w:rPr>
          <w:rFonts w:ascii="Times New Roman" w:hAnsi="Times New Roman" w:cs="Times New Roman"/>
        </w:rPr>
        <w:t xml:space="preserve">MN – attiecīgi, ja parādnieka mantas apmērs </w:t>
      </w:r>
      <w:r w:rsidR="003A5D40" w:rsidRPr="00F36B06">
        <w:rPr>
          <w:rFonts w:ascii="Times New Roman" w:hAnsi="Times New Roman" w:cs="Times New Roman"/>
        </w:rPr>
        <w:t>nepārsniedz depozīta apmēru</w:t>
      </w:r>
      <w:r w:rsidR="00F37A4C" w:rsidRPr="00F36B06">
        <w:rPr>
          <w:rStyle w:val="FootnoteReference"/>
          <w:rFonts w:ascii="Times New Roman" w:hAnsi="Times New Roman" w:cs="Times New Roman"/>
        </w:rPr>
        <w:footnoteReference w:id="9"/>
      </w:r>
      <w:r w:rsidR="003A5D40" w:rsidRPr="00F36B06">
        <w:rPr>
          <w:rFonts w:ascii="Times New Roman" w:hAnsi="Times New Roman" w:cs="Times New Roman"/>
        </w:rPr>
        <w:t>. No kop</w:t>
      </w:r>
      <w:r w:rsidR="009F3492" w:rsidRPr="00F36B06">
        <w:rPr>
          <w:rFonts w:ascii="Times New Roman" w:hAnsi="Times New Roman" w:cs="Times New Roman"/>
        </w:rPr>
        <w:t xml:space="preserve">ējā </w:t>
      </w:r>
      <w:r w:rsidR="007B6FA4" w:rsidRPr="00F36B06">
        <w:rPr>
          <w:rFonts w:ascii="Times New Roman" w:hAnsi="Times New Roman" w:cs="Times New Roman"/>
        </w:rPr>
        <w:t>pētījuma ietvaros</w:t>
      </w:r>
      <w:r w:rsidR="003A5D40" w:rsidRPr="00F36B06">
        <w:rPr>
          <w:rFonts w:ascii="Times New Roman" w:hAnsi="Times New Roman" w:cs="Times New Roman"/>
        </w:rPr>
        <w:t xml:space="preserve"> </w:t>
      </w:r>
      <w:r w:rsidR="00FD5765" w:rsidRPr="00F36B06">
        <w:rPr>
          <w:rFonts w:ascii="Times New Roman" w:hAnsi="Times New Roman" w:cs="Times New Roman"/>
        </w:rPr>
        <w:t>analizēt</w:t>
      </w:r>
      <w:r w:rsidR="006042E9" w:rsidRPr="00F36B06">
        <w:rPr>
          <w:rFonts w:ascii="Times New Roman" w:hAnsi="Times New Roman" w:cs="Times New Roman"/>
        </w:rPr>
        <w:t>ā</w:t>
      </w:r>
      <w:r w:rsidR="00FD5765" w:rsidRPr="00F36B06">
        <w:rPr>
          <w:rFonts w:ascii="Times New Roman" w:hAnsi="Times New Roman" w:cs="Times New Roman"/>
        </w:rPr>
        <w:t xml:space="preserve"> maksātnespējas procesu skaita</w:t>
      </w:r>
      <w:r w:rsidR="00123729" w:rsidRPr="00F36B06">
        <w:rPr>
          <w:rStyle w:val="FootnoteReference"/>
          <w:rFonts w:ascii="Times New Roman" w:hAnsi="Times New Roman" w:cs="Times New Roman"/>
        </w:rPr>
        <w:footnoteReference w:id="10"/>
      </w:r>
      <w:r w:rsidR="00FD5765" w:rsidRPr="00F36B06">
        <w:rPr>
          <w:rFonts w:ascii="Times New Roman" w:hAnsi="Times New Roman" w:cs="Times New Roman"/>
        </w:rPr>
        <w:t xml:space="preserve"> </w:t>
      </w:r>
      <w:r w:rsidR="003A5D40" w:rsidRPr="00F36B06">
        <w:rPr>
          <w:rFonts w:ascii="Times New Roman" w:hAnsi="Times New Roman" w:cs="Times New Roman"/>
        </w:rPr>
        <w:t>127 (53</w:t>
      </w:r>
      <w:r w:rsidR="001174A8" w:rsidRPr="00F36B06">
        <w:rPr>
          <w:rFonts w:ascii="Times New Roman" w:hAnsi="Times New Roman" w:cs="Times New Roman"/>
        </w:rPr>
        <w:t> </w:t>
      </w:r>
      <w:r w:rsidR="003A5D40" w:rsidRPr="00F36B06">
        <w:rPr>
          <w:rFonts w:ascii="Times New Roman" w:hAnsi="Times New Roman" w:cs="Times New Roman"/>
        </w:rPr>
        <w:t xml:space="preserve">%) maksātnespējas procesos sastādīts MPP, </w:t>
      </w:r>
      <w:r w:rsidR="00AE32D4" w:rsidRPr="00F36B06">
        <w:rPr>
          <w:rFonts w:ascii="Times New Roman" w:hAnsi="Times New Roman" w:cs="Times New Roman"/>
        </w:rPr>
        <w:t xml:space="preserve">savukārt </w:t>
      </w:r>
      <w:r w:rsidR="003A5D40" w:rsidRPr="00F36B06">
        <w:rPr>
          <w:rFonts w:ascii="Times New Roman" w:hAnsi="Times New Roman" w:cs="Times New Roman"/>
        </w:rPr>
        <w:t>114 (47</w:t>
      </w:r>
      <w:r w:rsidR="001174A8" w:rsidRPr="00F36B06">
        <w:rPr>
          <w:rFonts w:ascii="Times New Roman" w:hAnsi="Times New Roman" w:cs="Times New Roman"/>
        </w:rPr>
        <w:t> </w:t>
      </w:r>
      <w:r w:rsidR="003A5D40" w:rsidRPr="00F36B06">
        <w:rPr>
          <w:rFonts w:ascii="Times New Roman" w:hAnsi="Times New Roman" w:cs="Times New Roman"/>
        </w:rPr>
        <w:t>%) maksātnespējas procesos sastādīts ZPMN</w:t>
      </w:r>
      <w:r w:rsidR="00AE32D4" w:rsidRPr="00F36B06">
        <w:rPr>
          <w:rFonts w:ascii="Times New Roman" w:hAnsi="Times New Roman" w:cs="Times New Roman"/>
        </w:rPr>
        <w:t xml:space="preserve"> (</w:t>
      </w:r>
      <w:r w:rsidR="00C51365">
        <w:rPr>
          <w:rFonts w:ascii="Times New Roman" w:hAnsi="Times New Roman" w:cs="Times New Roman"/>
        </w:rPr>
        <w:t>1</w:t>
      </w:r>
      <w:r w:rsidR="00AB364A" w:rsidRPr="00F36B06">
        <w:rPr>
          <w:rFonts w:ascii="Times New Roman" w:hAnsi="Times New Roman" w:cs="Times New Roman"/>
        </w:rPr>
        <w:t>. </w:t>
      </w:r>
      <w:r w:rsidR="00AE32D4" w:rsidRPr="00F36B06">
        <w:rPr>
          <w:rFonts w:ascii="Times New Roman" w:hAnsi="Times New Roman" w:cs="Times New Roman"/>
        </w:rPr>
        <w:t>attēls)</w:t>
      </w:r>
      <w:r w:rsidR="003A5D40" w:rsidRPr="00F36B06">
        <w:rPr>
          <w:rFonts w:ascii="Times New Roman" w:hAnsi="Times New Roman" w:cs="Times New Roman"/>
        </w:rPr>
        <w:t>.</w:t>
      </w:r>
      <w:r w:rsidR="009E7BE1" w:rsidRPr="00F36B06">
        <w:rPr>
          <w:rFonts w:ascii="Times New Roman" w:hAnsi="Times New Roman" w:cs="Times New Roman"/>
        </w:rPr>
        <w:t xml:space="preserve"> </w:t>
      </w:r>
      <w:r w:rsidR="008E21D5">
        <w:rPr>
          <w:rFonts w:ascii="Times New Roman" w:hAnsi="Times New Roman" w:cs="Times New Roman"/>
        </w:rPr>
        <w:t>Savukārt</w:t>
      </w:r>
      <w:r w:rsidR="005F6248" w:rsidRPr="00F36B06">
        <w:rPr>
          <w:rFonts w:ascii="Times New Roman" w:hAnsi="Times New Roman" w:cs="Times New Roman"/>
        </w:rPr>
        <w:t xml:space="preserve"> </w:t>
      </w:r>
      <w:r w:rsidR="00C26455" w:rsidRPr="00F36B06">
        <w:rPr>
          <w:rFonts w:ascii="Times New Roman" w:hAnsi="Times New Roman" w:cs="Times New Roman"/>
        </w:rPr>
        <w:t>no kopējā 2023. gad</w:t>
      </w:r>
      <w:r w:rsidR="001174A8" w:rsidRPr="00F36B06">
        <w:rPr>
          <w:rFonts w:ascii="Times New Roman" w:hAnsi="Times New Roman" w:cs="Times New Roman"/>
        </w:rPr>
        <w:t>ā</w:t>
      </w:r>
      <w:r w:rsidR="00C26455" w:rsidRPr="00F36B06">
        <w:rPr>
          <w:rFonts w:ascii="Times New Roman" w:hAnsi="Times New Roman" w:cs="Times New Roman"/>
        </w:rPr>
        <w:t xml:space="preserve"> pasludināto maksātnespējas procesu skaita</w:t>
      </w:r>
      <w:r w:rsidR="009E7BE1" w:rsidRPr="00F36B06">
        <w:rPr>
          <w:rFonts w:ascii="Times New Roman" w:hAnsi="Times New Roman" w:cs="Times New Roman"/>
        </w:rPr>
        <w:t xml:space="preserve"> </w:t>
      </w:r>
      <w:bookmarkStart w:id="1" w:name="_Hlk187095603"/>
      <w:r w:rsidR="009E7BE1" w:rsidRPr="00F36B06">
        <w:rPr>
          <w:rFonts w:ascii="Times New Roman" w:hAnsi="Times New Roman" w:cs="Times New Roman"/>
        </w:rPr>
        <w:t xml:space="preserve">tā saucamo "tukšo" procesu īpatsvars </w:t>
      </w:r>
      <w:r w:rsidR="00F66443" w:rsidRPr="00F36B06">
        <w:rPr>
          <w:rFonts w:ascii="Times New Roman" w:hAnsi="Times New Roman" w:cs="Times New Roman"/>
        </w:rPr>
        <w:t>bija</w:t>
      </w:r>
      <w:r w:rsidR="009E7BE1" w:rsidRPr="00F36B06">
        <w:rPr>
          <w:rFonts w:ascii="Times New Roman" w:hAnsi="Times New Roman" w:cs="Times New Roman"/>
        </w:rPr>
        <w:t xml:space="preserve"> 59</w:t>
      </w:r>
      <w:r w:rsidR="001174A8" w:rsidRPr="00F36B06">
        <w:rPr>
          <w:rFonts w:ascii="Times New Roman" w:hAnsi="Times New Roman" w:cs="Times New Roman"/>
        </w:rPr>
        <w:t> </w:t>
      </w:r>
      <w:r w:rsidR="009E7BE1" w:rsidRPr="00F36B06">
        <w:rPr>
          <w:rFonts w:ascii="Times New Roman" w:hAnsi="Times New Roman" w:cs="Times New Roman"/>
        </w:rPr>
        <w:t>%</w:t>
      </w:r>
      <w:bookmarkEnd w:id="1"/>
      <w:r w:rsidR="009E7BE1" w:rsidRPr="00F36B06">
        <w:rPr>
          <w:rFonts w:ascii="Times New Roman" w:hAnsi="Times New Roman" w:cs="Times New Roman"/>
        </w:rPr>
        <w:t xml:space="preserve">. </w:t>
      </w:r>
    </w:p>
    <w:p w14:paraId="75E19AEB" w14:textId="77777777" w:rsidR="005F43A2" w:rsidRPr="00F36B06" w:rsidRDefault="005F43A2" w:rsidP="009D295A">
      <w:pPr>
        <w:spacing w:after="0" w:line="240" w:lineRule="auto"/>
        <w:ind w:firstLine="720"/>
        <w:jc w:val="both"/>
        <w:rPr>
          <w:rFonts w:ascii="Times New Roman" w:hAnsi="Times New Roman" w:cs="Times New Roman"/>
        </w:rPr>
      </w:pPr>
    </w:p>
    <w:p w14:paraId="3BEB1EA9" w14:textId="77777777" w:rsidR="00225F11" w:rsidRDefault="00225F11" w:rsidP="004340CA">
      <w:pPr>
        <w:spacing w:after="0" w:line="240" w:lineRule="auto"/>
        <w:jc w:val="center"/>
        <w:rPr>
          <w:rFonts w:ascii="Times New Roman" w:hAnsi="Times New Roman" w:cs="Times New Roman"/>
          <w:b/>
          <w:bCs/>
        </w:rPr>
      </w:pPr>
    </w:p>
    <w:p w14:paraId="186F3910" w14:textId="77777777" w:rsidR="00225F11" w:rsidRDefault="00225F11" w:rsidP="004340CA">
      <w:pPr>
        <w:spacing w:after="0" w:line="240" w:lineRule="auto"/>
        <w:jc w:val="center"/>
        <w:rPr>
          <w:rFonts w:ascii="Times New Roman" w:hAnsi="Times New Roman" w:cs="Times New Roman"/>
          <w:b/>
          <w:bCs/>
        </w:rPr>
      </w:pPr>
    </w:p>
    <w:p w14:paraId="0122D984" w14:textId="77777777" w:rsidR="00225F11" w:rsidRDefault="00225F11" w:rsidP="004340CA">
      <w:pPr>
        <w:spacing w:after="0" w:line="240" w:lineRule="auto"/>
        <w:jc w:val="center"/>
        <w:rPr>
          <w:rFonts w:ascii="Times New Roman" w:hAnsi="Times New Roman" w:cs="Times New Roman"/>
          <w:b/>
          <w:bCs/>
        </w:rPr>
      </w:pPr>
    </w:p>
    <w:p w14:paraId="23886BCF" w14:textId="77777777" w:rsidR="00225F11" w:rsidRDefault="00225F11" w:rsidP="004340CA">
      <w:pPr>
        <w:spacing w:after="0" w:line="240" w:lineRule="auto"/>
        <w:jc w:val="center"/>
        <w:rPr>
          <w:rFonts w:ascii="Times New Roman" w:hAnsi="Times New Roman" w:cs="Times New Roman"/>
          <w:b/>
          <w:bCs/>
        </w:rPr>
      </w:pPr>
    </w:p>
    <w:p w14:paraId="5220B423" w14:textId="77777777" w:rsidR="00225F11" w:rsidRDefault="00225F11" w:rsidP="004340CA">
      <w:pPr>
        <w:spacing w:after="0" w:line="240" w:lineRule="auto"/>
        <w:jc w:val="center"/>
        <w:rPr>
          <w:rFonts w:ascii="Times New Roman" w:hAnsi="Times New Roman" w:cs="Times New Roman"/>
          <w:b/>
          <w:bCs/>
        </w:rPr>
      </w:pPr>
    </w:p>
    <w:p w14:paraId="0FA7A4CD" w14:textId="77777777" w:rsidR="00225F11" w:rsidRDefault="00225F11" w:rsidP="004340CA">
      <w:pPr>
        <w:spacing w:after="0" w:line="240" w:lineRule="auto"/>
        <w:jc w:val="center"/>
        <w:rPr>
          <w:rFonts w:ascii="Times New Roman" w:hAnsi="Times New Roman" w:cs="Times New Roman"/>
          <w:b/>
          <w:bCs/>
        </w:rPr>
      </w:pPr>
    </w:p>
    <w:p w14:paraId="6D44DC80" w14:textId="4BAB8F5C" w:rsidR="000C2444" w:rsidRDefault="000C2444" w:rsidP="004340CA">
      <w:pPr>
        <w:spacing w:after="0" w:line="240" w:lineRule="auto"/>
        <w:jc w:val="center"/>
        <w:rPr>
          <w:rFonts w:ascii="Times New Roman" w:hAnsi="Times New Roman" w:cs="Times New Roman"/>
          <w:b/>
          <w:bCs/>
        </w:rPr>
      </w:pPr>
      <w:r w:rsidRPr="00F36B06">
        <w:rPr>
          <w:rFonts w:ascii="Times New Roman" w:hAnsi="Times New Roman" w:cs="Times New Roman"/>
          <w:b/>
          <w:bCs/>
        </w:rPr>
        <w:lastRenderedPageBreak/>
        <w:t>Maksātnespējas proces</w:t>
      </w:r>
      <w:r w:rsidR="00FD19A2" w:rsidRPr="00F36B06">
        <w:rPr>
          <w:rFonts w:ascii="Times New Roman" w:hAnsi="Times New Roman" w:cs="Times New Roman"/>
          <w:b/>
          <w:bCs/>
        </w:rPr>
        <w:t>u</w:t>
      </w:r>
      <w:r w:rsidR="00BA4768" w:rsidRPr="00F36B06">
        <w:rPr>
          <w:rFonts w:ascii="Times New Roman" w:hAnsi="Times New Roman" w:cs="Times New Roman"/>
          <w:b/>
          <w:bCs/>
        </w:rPr>
        <w:t xml:space="preserve"> attiecība</w:t>
      </w:r>
      <w:r w:rsidR="00FD19A2" w:rsidRPr="00F36B06">
        <w:rPr>
          <w:rFonts w:ascii="Times New Roman" w:hAnsi="Times New Roman" w:cs="Times New Roman"/>
          <w:b/>
          <w:bCs/>
        </w:rPr>
        <w:t>, kur</w:t>
      </w:r>
      <w:r w:rsidR="00626778" w:rsidRPr="00F36B06">
        <w:rPr>
          <w:rFonts w:ascii="Times New Roman" w:hAnsi="Times New Roman" w:cs="Times New Roman"/>
          <w:b/>
          <w:bCs/>
        </w:rPr>
        <w:t>os</w:t>
      </w:r>
      <w:r w:rsidR="00FD19A2" w:rsidRPr="00F36B06">
        <w:rPr>
          <w:rFonts w:ascii="Times New Roman" w:hAnsi="Times New Roman" w:cs="Times New Roman"/>
          <w:b/>
          <w:bCs/>
        </w:rPr>
        <w:t xml:space="preserve"> sastādīts MPP </w:t>
      </w:r>
      <w:r w:rsidR="00BA4768" w:rsidRPr="00F36B06">
        <w:rPr>
          <w:rFonts w:ascii="Times New Roman" w:hAnsi="Times New Roman" w:cs="Times New Roman"/>
          <w:b/>
          <w:bCs/>
        </w:rPr>
        <w:t>vai</w:t>
      </w:r>
      <w:r w:rsidR="00FD19A2" w:rsidRPr="00F36B06">
        <w:rPr>
          <w:rFonts w:ascii="Times New Roman" w:hAnsi="Times New Roman" w:cs="Times New Roman"/>
          <w:b/>
          <w:bCs/>
        </w:rPr>
        <w:t xml:space="preserve"> ZPMN</w:t>
      </w:r>
    </w:p>
    <w:p w14:paraId="4C982AD3" w14:textId="77777777" w:rsidR="00225F11" w:rsidRDefault="00225F11" w:rsidP="004340CA">
      <w:pPr>
        <w:spacing w:after="0" w:line="240" w:lineRule="auto"/>
        <w:jc w:val="center"/>
        <w:rPr>
          <w:rFonts w:ascii="Times New Roman" w:hAnsi="Times New Roman" w:cs="Times New Roman"/>
          <w:b/>
          <w:bCs/>
        </w:rPr>
      </w:pPr>
    </w:p>
    <w:p w14:paraId="6A055904" w14:textId="02165C1A" w:rsidR="00225F11" w:rsidRPr="00F36B06" w:rsidRDefault="00225F11" w:rsidP="00225F11">
      <w:pPr>
        <w:spacing w:after="0" w:line="240" w:lineRule="auto"/>
        <w:ind w:firstLine="720"/>
        <w:jc w:val="right"/>
        <w:rPr>
          <w:rFonts w:ascii="Times New Roman" w:hAnsi="Times New Roman" w:cs="Times New Roman"/>
          <w:i/>
          <w:iCs/>
        </w:rPr>
      </w:pPr>
      <w:r>
        <w:rPr>
          <w:rFonts w:ascii="Times New Roman" w:hAnsi="Times New Roman" w:cs="Times New Roman"/>
          <w:i/>
          <w:iCs/>
        </w:rPr>
        <w:t>1</w:t>
      </w:r>
      <w:r w:rsidRPr="00F36B06">
        <w:rPr>
          <w:rFonts w:ascii="Times New Roman" w:hAnsi="Times New Roman" w:cs="Times New Roman"/>
          <w:i/>
          <w:iCs/>
        </w:rPr>
        <w:t>. attēls</w:t>
      </w:r>
    </w:p>
    <w:p w14:paraId="65FB0540" w14:textId="77777777" w:rsidR="00225F11" w:rsidRPr="00F36B06" w:rsidRDefault="00225F11" w:rsidP="00225F11">
      <w:pPr>
        <w:spacing w:after="0" w:line="240" w:lineRule="auto"/>
        <w:jc w:val="right"/>
        <w:rPr>
          <w:rFonts w:ascii="Times New Roman" w:hAnsi="Times New Roman" w:cs="Times New Roman"/>
          <w:b/>
          <w:bCs/>
        </w:rPr>
      </w:pPr>
    </w:p>
    <w:p w14:paraId="0BF6C4DD" w14:textId="77777777" w:rsidR="00720FF6" w:rsidRPr="00F36B06" w:rsidRDefault="00720FF6" w:rsidP="004340CA">
      <w:pPr>
        <w:spacing w:after="0" w:line="240" w:lineRule="auto"/>
        <w:jc w:val="center"/>
        <w:rPr>
          <w:rFonts w:ascii="Times New Roman" w:hAnsi="Times New Roman" w:cs="Times New Roman"/>
          <w:b/>
          <w:bCs/>
        </w:rPr>
      </w:pPr>
    </w:p>
    <w:p w14:paraId="254D95BE" w14:textId="3F4A76BC" w:rsidR="00DB680E" w:rsidRPr="00F36B06" w:rsidRDefault="00626778" w:rsidP="004340CA">
      <w:pPr>
        <w:spacing w:after="0" w:line="240" w:lineRule="auto"/>
        <w:jc w:val="center"/>
        <w:rPr>
          <w:rFonts w:ascii="Times New Roman" w:hAnsi="Times New Roman" w:cs="Times New Roman"/>
          <w:b/>
          <w:bCs/>
        </w:rPr>
      </w:pPr>
      <w:r w:rsidRPr="00F36B06">
        <w:rPr>
          <w:rFonts w:ascii="Times New Roman" w:hAnsi="Times New Roman" w:cs="Times New Roman"/>
          <w:b/>
          <w:bCs/>
          <w:noProof/>
        </w:rPr>
        <w:drawing>
          <wp:inline distT="0" distB="0" distL="0" distR="0" wp14:anchorId="26B9E15E" wp14:editId="37FE09C5">
            <wp:extent cx="5486400" cy="2461260"/>
            <wp:effectExtent l="0" t="0" r="0" b="15240"/>
            <wp:docPr id="89239709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624C6F" w14:textId="77777777" w:rsidR="00C00986" w:rsidRPr="00F36B06" w:rsidRDefault="00C00986" w:rsidP="009D295A">
      <w:pPr>
        <w:spacing w:after="0" w:line="240" w:lineRule="auto"/>
        <w:ind w:firstLine="720"/>
        <w:jc w:val="both"/>
        <w:rPr>
          <w:rFonts w:ascii="Times New Roman" w:hAnsi="Times New Roman" w:cs="Times New Roman"/>
        </w:rPr>
      </w:pPr>
    </w:p>
    <w:p w14:paraId="65F43ADD" w14:textId="77777777" w:rsidR="002568AE" w:rsidRPr="00F36B06" w:rsidRDefault="00013F7B" w:rsidP="002568AE">
      <w:pPr>
        <w:autoSpaceDE w:val="0"/>
        <w:autoSpaceDN w:val="0"/>
        <w:adjustRightInd w:val="0"/>
        <w:spacing w:after="0" w:line="240" w:lineRule="auto"/>
        <w:ind w:right="-81" w:firstLine="720"/>
        <w:jc w:val="both"/>
        <w:rPr>
          <w:rFonts w:ascii="Times New Roman" w:eastAsia="Times New Roman" w:hAnsi="Times New Roman" w:cs="Times New Roman"/>
          <w:kern w:val="0"/>
          <w14:ligatures w14:val="none"/>
        </w:rPr>
      </w:pPr>
      <w:r w:rsidRPr="00F36B06">
        <w:rPr>
          <w:rFonts w:ascii="Times New Roman" w:hAnsi="Times New Roman" w:cs="Times New Roman"/>
        </w:rPr>
        <w:t xml:space="preserve">Viens no </w:t>
      </w:r>
      <w:r w:rsidR="00E041E5" w:rsidRPr="00F36B06">
        <w:rPr>
          <w:rFonts w:ascii="Times New Roman" w:hAnsi="Times New Roman" w:cs="Times New Roman"/>
        </w:rPr>
        <w:t>galvenajiem veidiem</w:t>
      </w:r>
      <w:r w:rsidR="00E23325" w:rsidRPr="00F36B06">
        <w:rPr>
          <w:rFonts w:ascii="Times New Roman" w:hAnsi="Times New Roman" w:cs="Times New Roman"/>
        </w:rPr>
        <w:t>,</w:t>
      </w:r>
      <w:r w:rsidR="00E041E5" w:rsidRPr="00F36B06">
        <w:rPr>
          <w:rFonts w:ascii="Times New Roman" w:hAnsi="Times New Roman" w:cs="Times New Roman"/>
        </w:rPr>
        <w:t xml:space="preserve"> </w:t>
      </w:r>
      <w:r w:rsidR="0052766B" w:rsidRPr="00F36B06">
        <w:rPr>
          <w:rFonts w:ascii="Times New Roman" w:hAnsi="Times New Roman" w:cs="Times New Roman"/>
        </w:rPr>
        <w:t>kā administrators iegūst līdzekļus kreditoru prasījumu apmierināšanai</w:t>
      </w:r>
      <w:r w:rsidR="00E23325" w:rsidRPr="00F36B06">
        <w:rPr>
          <w:rFonts w:ascii="Times New Roman" w:hAnsi="Times New Roman" w:cs="Times New Roman"/>
        </w:rPr>
        <w:t>,</w:t>
      </w:r>
      <w:r w:rsidR="0052766B" w:rsidRPr="00F36B06">
        <w:rPr>
          <w:rFonts w:ascii="Times New Roman" w:hAnsi="Times New Roman" w:cs="Times New Roman"/>
        </w:rPr>
        <w:t xml:space="preserve"> ir parādnieka mantas </w:t>
      </w:r>
      <w:r w:rsidR="005D525C" w:rsidRPr="00F36B06">
        <w:rPr>
          <w:rFonts w:ascii="Times New Roman" w:hAnsi="Times New Roman" w:cs="Times New Roman"/>
        </w:rPr>
        <w:t>pārdošana</w:t>
      </w:r>
      <w:r w:rsidR="003A22F1" w:rsidRPr="00F36B06">
        <w:rPr>
          <w:rFonts w:ascii="Times New Roman" w:hAnsi="Times New Roman" w:cs="Times New Roman"/>
        </w:rPr>
        <w:t>.</w:t>
      </w:r>
      <w:r w:rsidR="00D43F17" w:rsidRPr="00F36B06">
        <w:rPr>
          <w:rFonts w:ascii="Times New Roman" w:hAnsi="Times New Roman" w:cs="Times New Roman"/>
        </w:rPr>
        <w:t xml:space="preserve"> Jāvērš uzmanība, ka parādnieka </w:t>
      </w:r>
      <w:r w:rsidR="0003090B" w:rsidRPr="00F36B06">
        <w:rPr>
          <w:rFonts w:ascii="Times New Roman" w:hAnsi="Times New Roman" w:cs="Times New Roman"/>
        </w:rPr>
        <w:t xml:space="preserve">manta </w:t>
      </w:r>
      <w:r w:rsidR="00322CA8" w:rsidRPr="00F36B06">
        <w:rPr>
          <w:rFonts w:ascii="Times New Roman" w:hAnsi="Times New Roman" w:cs="Times New Roman"/>
        </w:rPr>
        <w:t xml:space="preserve">var atrasties </w:t>
      </w:r>
      <w:r w:rsidR="008714A1" w:rsidRPr="00F36B06">
        <w:rPr>
          <w:rFonts w:ascii="Times New Roman" w:hAnsi="Times New Roman" w:cs="Times New Roman"/>
        </w:rPr>
        <w:t xml:space="preserve">arī </w:t>
      </w:r>
      <w:r w:rsidR="00322CA8" w:rsidRPr="00F36B06">
        <w:rPr>
          <w:rFonts w:ascii="Times New Roman" w:hAnsi="Times New Roman" w:cs="Times New Roman"/>
        </w:rPr>
        <w:t>pie trešajām personām, līdz ar to viens no administratora pienākumiem ir atprasīt no trešajām personām to valdījumā esošo parādnieka mantu</w:t>
      </w:r>
      <w:r w:rsidR="00B31290" w:rsidRPr="00F36B06">
        <w:rPr>
          <w:rStyle w:val="FootnoteReference"/>
          <w:rFonts w:ascii="Times New Roman" w:hAnsi="Times New Roman" w:cs="Times New Roman"/>
        </w:rPr>
        <w:footnoteReference w:id="11"/>
      </w:r>
      <w:r w:rsidR="0003090B" w:rsidRPr="00F36B06">
        <w:rPr>
          <w:rFonts w:ascii="Times New Roman" w:hAnsi="Times New Roman" w:cs="Times New Roman"/>
        </w:rPr>
        <w:t>.</w:t>
      </w:r>
      <w:r w:rsidR="00322CA8" w:rsidRPr="00F36B06">
        <w:rPr>
          <w:rFonts w:ascii="Times New Roman" w:hAnsi="Times New Roman" w:cs="Times New Roman"/>
        </w:rPr>
        <w:t xml:space="preserve"> </w:t>
      </w:r>
      <w:r w:rsidR="0003090B" w:rsidRPr="00F36B06">
        <w:rPr>
          <w:rFonts w:ascii="Times New Roman" w:hAnsi="Times New Roman" w:cs="Times New Roman"/>
        </w:rPr>
        <w:t>T</w:t>
      </w:r>
      <w:r w:rsidR="00322CA8" w:rsidRPr="00F36B06">
        <w:rPr>
          <w:rFonts w:ascii="Times New Roman" w:hAnsi="Times New Roman" w:cs="Times New Roman"/>
        </w:rPr>
        <w:t xml:space="preserve">āpat par parādnieka mantu ir uzskatāmi arī debitoru parādi </w:t>
      </w:r>
      <w:r w:rsidR="00A93F64" w:rsidRPr="00F36B06">
        <w:rPr>
          <w:rFonts w:ascii="Times New Roman" w:hAnsi="Times New Roman" w:cs="Times New Roman"/>
        </w:rPr>
        <w:t>–</w:t>
      </w:r>
      <w:r w:rsidR="00011996" w:rsidRPr="00F36B06">
        <w:rPr>
          <w:rFonts w:ascii="Times New Roman" w:hAnsi="Times New Roman" w:cs="Times New Roman"/>
        </w:rPr>
        <w:t xml:space="preserve"> administratoram ir pienākums atgūt debitoru parādus</w:t>
      </w:r>
      <w:r w:rsidR="00EB752A" w:rsidRPr="00F36B06">
        <w:rPr>
          <w:rFonts w:ascii="Times New Roman" w:hAnsi="Times New Roman" w:cs="Times New Roman"/>
        </w:rPr>
        <w:t xml:space="preserve">, aicinot debitorus izpildīt savas </w:t>
      </w:r>
      <w:r w:rsidR="00B12BBE" w:rsidRPr="00F36B06">
        <w:rPr>
          <w:rFonts w:ascii="Times New Roman" w:hAnsi="Times New Roman" w:cs="Times New Roman"/>
        </w:rPr>
        <w:t xml:space="preserve">saistības labprātīgi vai </w:t>
      </w:r>
      <w:r w:rsidR="005B6553" w:rsidRPr="00F36B06">
        <w:rPr>
          <w:rFonts w:ascii="Times New Roman" w:hAnsi="Times New Roman" w:cs="Times New Roman"/>
        </w:rPr>
        <w:t>piespiedu kārtā</w:t>
      </w:r>
      <w:r w:rsidR="001D2ED5" w:rsidRPr="00F36B06">
        <w:rPr>
          <w:rStyle w:val="FootnoteReference"/>
          <w:rFonts w:ascii="Times New Roman" w:hAnsi="Times New Roman" w:cs="Times New Roman"/>
        </w:rPr>
        <w:footnoteReference w:id="12"/>
      </w:r>
      <w:r w:rsidR="005B6553" w:rsidRPr="00F36B06">
        <w:rPr>
          <w:rFonts w:ascii="Times New Roman" w:hAnsi="Times New Roman" w:cs="Times New Roman"/>
        </w:rPr>
        <w:t>.</w:t>
      </w:r>
      <w:r w:rsidR="00322CA8" w:rsidRPr="00F36B06">
        <w:rPr>
          <w:rFonts w:ascii="Times New Roman" w:hAnsi="Times New Roman" w:cs="Times New Roman"/>
        </w:rPr>
        <w:t xml:space="preserve"> </w:t>
      </w:r>
      <w:r w:rsidR="00906419" w:rsidRPr="00F36B06">
        <w:rPr>
          <w:rFonts w:ascii="Times New Roman" w:hAnsi="Times New Roman" w:cs="Times New Roman"/>
        </w:rPr>
        <w:t>Gadījumā</w:t>
      </w:r>
      <w:r w:rsidR="00250B83" w:rsidRPr="00F36B06">
        <w:rPr>
          <w:rFonts w:ascii="Times New Roman" w:hAnsi="Times New Roman" w:cs="Times New Roman"/>
        </w:rPr>
        <w:t>, ja debitora parāda atgūšana prasa pārāk liel</w:t>
      </w:r>
      <w:r w:rsidR="00D030D6" w:rsidRPr="00F36B06">
        <w:rPr>
          <w:rFonts w:ascii="Times New Roman" w:hAnsi="Times New Roman" w:cs="Times New Roman"/>
        </w:rPr>
        <w:t>u</w:t>
      </w:r>
      <w:r w:rsidR="00250B83" w:rsidRPr="00F36B06">
        <w:rPr>
          <w:rFonts w:ascii="Times New Roman" w:hAnsi="Times New Roman" w:cs="Times New Roman"/>
        </w:rPr>
        <w:t xml:space="preserve"> resurs</w:t>
      </w:r>
      <w:r w:rsidR="001D2ED5" w:rsidRPr="00F36B06">
        <w:rPr>
          <w:rFonts w:ascii="Times New Roman" w:hAnsi="Times New Roman" w:cs="Times New Roman"/>
        </w:rPr>
        <w:t>a ieguldījumu</w:t>
      </w:r>
      <w:r w:rsidR="00250B83" w:rsidRPr="00F36B06">
        <w:rPr>
          <w:rFonts w:ascii="Times New Roman" w:hAnsi="Times New Roman" w:cs="Times New Roman"/>
        </w:rPr>
        <w:t xml:space="preserve">, </w:t>
      </w:r>
      <w:r w:rsidR="00B31290" w:rsidRPr="00F36B06">
        <w:rPr>
          <w:rFonts w:ascii="Times New Roman" w:hAnsi="Times New Roman" w:cs="Times New Roman"/>
        </w:rPr>
        <w:t>notiek tā pārdošana</w:t>
      </w:r>
      <w:r w:rsidR="00027F0D" w:rsidRPr="00F36B06">
        <w:rPr>
          <w:rFonts w:ascii="Times New Roman" w:hAnsi="Times New Roman" w:cs="Times New Roman"/>
        </w:rPr>
        <w:t xml:space="preserve"> – cesija</w:t>
      </w:r>
      <w:r w:rsidR="00B31290" w:rsidRPr="00F36B06">
        <w:rPr>
          <w:rFonts w:ascii="Times New Roman" w:hAnsi="Times New Roman" w:cs="Times New Roman"/>
        </w:rPr>
        <w:t>.</w:t>
      </w:r>
      <w:r w:rsidR="001D2ED5" w:rsidRPr="00F36B06">
        <w:rPr>
          <w:rStyle w:val="FootnoteReference"/>
          <w:rFonts w:ascii="Times New Roman" w:hAnsi="Times New Roman" w:cs="Times New Roman"/>
        </w:rPr>
        <w:footnoteReference w:id="13"/>
      </w:r>
      <w:r w:rsidR="00E54062" w:rsidRPr="00F36B06">
        <w:rPr>
          <w:rFonts w:ascii="Times New Roman" w:hAnsi="Times New Roman" w:cs="Times New Roman"/>
        </w:rPr>
        <w:t xml:space="preserve"> </w:t>
      </w:r>
      <w:r w:rsidR="002568AE" w:rsidRPr="00F36B06">
        <w:rPr>
          <w:rFonts w:ascii="Times New Roman" w:eastAsia="Times New Roman" w:hAnsi="Times New Roman" w:cs="Times New Roman"/>
          <w:kern w:val="0"/>
          <w14:ligatures w14:val="none"/>
        </w:rPr>
        <w:t>Nodoms cedēt prasījuma tiesības ir saskaņojams ar maksātnespējas procesa kreditoriem.</w:t>
      </w:r>
    </w:p>
    <w:p w14:paraId="0191D6C4" w14:textId="33CA4525" w:rsidR="002A55E8" w:rsidRPr="00F36B06" w:rsidRDefault="00A360D3" w:rsidP="00A6362C">
      <w:pPr>
        <w:spacing w:after="0" w:line="240" w:lineRule="auto"/>
        <w:ind w:firstLine="720"/>
        <w:jc w:val="both"/>
        <w:rPr>
          <w:rFonts w:ascii="Times New Roman" w:hAnsi="Times New Roman" w:cs="Times New Roman"/>
        </w:rPr>
      </w:pPr>
      <w:r>
        <w:rPr>
          <w:rFonts w:ascii="Times New Roman" w:hAnsi="Times New Roman" w:cs="Times New Roman"/>
        </w:rPr>
        <w:t>Jāņem vērā, ka</w:t>
      </w:r>
      <w:r w:rsidR="0041142E" w:rsidRPr="00F36B06">
        <w:rPr>
          <w:rFonts w:ascii="Times New Roman" w:hAnsi="Times New Roman" w:cs="Times New Roman"/>
        </w:rPr>
        <w:t xml:space="preserve"> </w:t>
      </w:r>
      <w:r w:rsidR="00D03618" w:rsidRPr="00F36B06">
        <w:rPr>
          <w:rFonts w:ascii="Times New Roman" w:hAnsi="Times New Roman" w:cs="Times New Roman"/>
        </w:rPr>
        <w:t xml:space="preserve">ne visos procesos tiek konstatēta manta, ko </w:t>
      </w:r>
      <w:r w:rsidR="000F6559" w:rsidRPr="00F36B06">
        <w:rPr>
          <w:rFonts w:ascii="Times New Roman" w:hAnsi="Times New Roman" w:cs="Times New Roman"/>
        </w:rPr>
        <w:t xml:space="preserve">ir iespējams realizēt, lai </w:t>
      </w:r>
      <w:r w:rsidR="00A6362C" w:rsidRPr="00F36B06">
        <w:rPr>
          <w:rFonts w:ascii="Times New Roman" w:hAnsi="Times New Roman" w:cs="Times New Roman"/>
        </w:rPr>
        <w:t>novirzītu līdzekļus kreditoriem. Minētais ir saistīts tostarp ar to, ka ne vienmēr maksātnespēja</w:t>
      </w:r>
      <w:r w:rsidR="00EB34DA" w:rsidRPr="00F36B06">
        <w:rPr>
          <w:rFonts w:ascii="Times New Roman" w:hAnsi="Times New Roman" w:cs="Times New Roman"/>
        </w:rPr>
        <w:t xml:space="preserve"> ir biznesa neveiksmes</w:t>
      </w:r>
      <w:r w:rsidR="00984150" w:rsidRPr="00F36B06">
        <w:rPr>
          <w:rFonts w:ascii="Times New Roman" w:hAnsi="Times New Roman" w:cs="Times New Roman"/>
        </w:rPr>
        <w:t xml:space="preserve">, bet gan </w:t>
      </w:r>
      <w:r w:rsidR="00F10749" w:rsidRPr="00F36B06">
        <w:rPr>
          <w:rFonts w:ascii="Times New Roman" w:hAnsi="Times New Roman" w:cs="Times New Roman"/>
        </w:rPr>
        <w:t xml:space="preserve">rūpības trūkuma, nolaidības vai pat </w:t>
      </w:r>
      <w:r w:rsidR="00984150" w:rsidRPr="00F36B06">
        <w:rPr>
          <w:rFonts w:ascii="Times New Roman" w:hAnsi="Times New Roman" w:cs="Times New Roman"/>
        </w:rPr>
        <w:t>prettiesisk</w:t>
      </w:r>
      <w:r w:rsidR="00F67856" w:rsidRPr="00F36B06">
        <w:rPr>
          <w:rFonts w:ascii="Times New Roman" w:hAnsi="Times New Roman" w:cs="Times New Roman"/>
        </w:rPr>
        <w:t>a</w:t>
      </w:r>
      <w:r w:rsidR="00984150" w:rsidRPr="00F36B06">
        <w:rPr>
          <w:rFonts w:ascii="Times New Roman" w:hAnsi="Times New Roman" w:cs="Times New Roman"/>
        </w:rPr>
        <w:t>s rīcības</w:t>
      </w:r>
      <w:r w:rsidR="00AA4077" w:rsidRPr="00F36B06">
        <w:rPr>
          <w:rFonts w:ascii="Times New Roman" w:hAnsi="Times New Roman" w:cs="Times New Roman"/>
        </w:rPr>
        <w:t xml:space="preserve"> rezultāts</w:t>
      </w:r>
      <w:r w:rsidR="00F67856" w:rsidRPr="00F36B06">
        <w:rPr>
          <w:rFonts w:ascii="Times New Roman" w:hAnsi="Times New Roman" w:cs="Times New Roman"/>
        </w:rPr>
        <w:t>.</w:t>
      </w:r>
      <w:r w:rsidR="00AA4077" w:rsidRPr="00F36B06">
        <w:rPr>
          <w:rFonts w:ascii="Times New Roman" w:hAnsi="Times New Roman" w:cs="Times New Roman"/>
        </w:rPr>
        <w:t xml:space="preserve"> </w:t>
      </w:r>
      <w:r w:rsidR="00D349C0" w:rsidRPr="00F36B06">
        <w:rPr>
          <w:rFonts w:ascii="Times New Roman" w:hAnsi="Times New Roman" w:cs="Times New Roman"/>
        </w:rPr>
        <w:t>P</w:t>
      </w:r>
      <w:r w:rsidR="00A065BC" w:rsidRPr="00F36B06">
        <w:rPr>
          <w:rFonts w:ascii="Times New Roman" w:hAnsi="Times New Roman" w:cs="Times New Roman"/>
        </w:rPr>
        <w:t xml:space="preserve">irms maksātnespējas procesa pasludināšanas </w:t>
      </w:r>
      <w:r w:rsidR="0035659C" w:rsidRPr="00F36B06">
        <w:rPr>
          <w:rFonts w:ascii="Times New Roman" w:hAnsi="Times New Roman" w:cs="Times New Roman"/>
        </w:rPr>
        <w:t>var tikt slēgti darījumi</w:t>
      </w:r>
      <w:r w:rsidR="00CA4513">
        <w:rPr>
          <w:rFonts w:ascii="Times New Roman" w:hAnsi="Times New Roman" w:cs="Times New Roman"/>
        </w:rPr>
        <w:t xml:space="preserve"> vai veiktas </w:t>
      </w:r>
      <w:r w:rsidR="00253168">
        <w:rPr>
          <w:rFonts w:ascii="Times New Roman" w:hAnsi="Times New Roman" w:cs="Times New Roman"/>
        </w:rPr>
        <w:t>darbības</w:t>
      </w:r>
      <w:r w:rsidR="0035659C" w:rsidRPr="00F36B06">
        <w:rPr>
          <w:rFonts w:ascii="Times New Roman" w:hAnsi="Times New Roman" w:cs="Times New Roman"/>
        </w:rPr>
        <w:t xml:space="preserve">, kuru rezultātā tiek nodarīti zaudējumi </w:t>
      </w:r>
      <w:r w:rsidR="00565E63" w:rsidRPr="00F36B06">
        <w:rPr>
          <w:rFonts w:ascii="Times New Roman" w:hAnsi="Times New Roman" w:cs="Times New Roman"/>
        </w:rPr>
        <w:t>parādniekam</w:t>
      </w:r>
      <w:r w:rsidR="007D2DF8" w:rsidRPr="00F36B06">
        <w:rPr>
          <w:rFonts w:ascii="Times New Roman" w:hAnsi="Times New Roman" w:cs="Times New Roman"/>
        </w:rPr>
        <w:t xml:space="preserve">. </w:t>
      </w:r>
      <w:r w:rsidR="00FC3F67">
        <w:rPr>
          <w:rFonts w:ascii="Times New Roman" w:hAnsi="Times New Roman" w:cs="Times New Roman"/>
        </w:rPr>
        <w:t>Kā p</w:t>
      </w:r>
      <w:r w:rsidR="008A2824" w:rsidRPr="00F36B06">
        <w:rPr>
          <w:rFonts w:ascii="Times New Roman" w:hAnsi="Times New Roman" w:cs="Times New Roman"/>
        </w:rPr>
        <w:t>iemēr</w:t>
      </w:r>
      <w:r w:rsidR="00FC3F67">
        <w:rPr>
          <w:rFonts w:ascii="Times New Roman" w:hAnsi="Times New Roman" w:cs="Times New Roman"/>
        </w:rPr>
        <w:t>us var minēt:</w:t>
      </w:r>
      <w:r w:rsidR="00A91109">
        <w:rPr>
          <w:rFonts w:ascii="Times New Roman" w:hAnsi="Times New Roman" w:cs="Times New Roman"/>
        </w:rPr>
        <w:t xml:space="preserve"> 1) pa</w:t>
      </w:r>
      <w:r w:rsidR="008A2824" w:rsidRPr="00F36B06">
        <w:rPr>
          <w:rFonts w:ascii="Times New Roman" w:hAnsi="Times New Roman" w:cs="Times New Roman"/>
        </w:rPr>
        <w:t>rādnieka manta</w:t>
      </w:r>
      <w:r w:rsidR="00A91109">
        <w:rPr>
          <w:rFonts w:ascii="Times New Roman" w:hAnsi="Times New Roman" w:cs="Times New Roman"/>
        </w:rPr>
        <w:t>s</w:t>
      </w:r>
      <w:r w:rsidR="008A2824" w:rsidRPr="00F36B06">
        <w:rPr>
          <w:rFonts w:ascii="Times New Roman" w:hAnsi="Times New Roman" w:cs="Times New Roman"/>
        </w:rPr>
        <w:t xml:space="preserve"> </w:t>
      </w:r>
      <w:r w:rsidR="00A91109">
        <w:rPr>
          <w:rFonts w:ascii="Times New Roman" w:hAnsi="Times New Roman" w:cs="Times New Roman"/>
        </w:rPr>
        <w:t>atsavināšanu</w:t>
      </w:r>
      <w:r w:rsidR="00DA139B" w:rsidRPr="00F36B06">
        <w:rPr>
          <w:rFonts w:ascii="Times New Roman" w:hAnsi="Times New Roman" w:cs="Times New Roman"/>
        </w:rPr>
        <w:t xml:space="preserve"> par nesamērīgi zemu cenu</w:t>
      </w:r>
      <w:r w:rsidR="005510ED" w:rsidRPr="00F36B06">
        <w:rPr>
          <w:rFonts w:ascii="Times New Roman" w:hAnsi="Times New Roman" w:cs="Times New Roman"/>
        </w:rPr>
        <w:t xml:space="preserve"> ar parādnieku tieši vai pastarpināti saistītām personām</w:t>
      </w:r>
      <w:r w:rsidR="00A91109">
        <w:rPr>
          <w:rFonts w:ascii="Times New Roman" w:hAnsi="Times New Roman" w:cs="Times New Roman"/>
        </w:rPr>
        <w:t>; 2) </w:t>
      </w:r>
      <w:r w:rsidR="00A62B6E" w:rsidRPr="00F36B06">
        <w:rPr>
          <w:rFonts w:ascii="Times New Roman" w:hAnsi="Times New Roman" w:cs="Times New Roman"/>
        </w:rPr>
        <w:t>vai</w:t>
      </w:r>
      <w:r w:rsidR="00166E84" w:rsidRPr="00F36B06">
        <w:rPr>
          <w:rFonts w:ascii="Times New Roman" w:hAnsi="Times New Roman" w:cs="Times New Roman"/>
        </w:rPr>
        <w:t xml:space="preserve"> </w:t>
      </w:r>
      <w:r w:rsidR="00FD3B3C" w:rsidRPr="00F36B06">
        <w:rPr>
          <w:rFonts w:ascii="Times New Roman" w:hAnsi="Times New Roman" w:cs="Times New Roman"/>
        </w:rPr>
        <w:t>parādnieka naudas līdzekļ</w:t>
      </w:r>
      <w:r w:rsidR="00F746B5" w:rsidRPr="00F36B06">
        <w:rPr>
          <w:rFonts w:ascii="Times New Roman" w:hAnsi="Times New Roman" w:cs="Times New Roman"/>
        </w:rPr>
        <w:t>i var tikt izmantoti</w:t>
      </w:r>
      <w:r w:rsidR="00351D88" w:rsidRPr="00F36B06">
        <w:rPr>
          <w:rFonts w:ascii="Times New Roman" w:hAnsi="Times New Roman" w:cs="Times New Roman"/>
        </w:rPr>
        <w:t xml:space="preserve"> </w:t>
      </w:r>
      <w:r w:rsidR="004452B6" w:rsidRPr="00F36B06">
        <w:rPr>
          <w:rFonts w:ascii="Times New Roman" w:hAnsi="Times New Roman" w:cs="Times New Roman"/>
        </w:rPr>
        <w:t>valdes locekļu personīgām vajadzībām</w:t>
      </w:r>
      <w:r w:rsidR="00A91109">
        <w:rPr>
          <w:rFonts w:ascii="Times New Roman" w:hAnsi="Times New Roman" w:cs="Times New Roman"/>
        </w:rPr>
        <w:t>; 3) </w:t>
      </w:r>
      <w:r w:rsidR="00A91109" w:rsidRPr="00A91109">
        <w:rPr>
          <w:rFonts w:ascii="Times New Roman" w:hAnsi="Times New Roman" w:cs="Times New Roman"/>
        </w:rPr>
        <w:t>nepieļaut</w:t>
      </w:r>
      <w:r w:rsidR="00D54153">
        <w:rPr>
          <w:rFonts w:ascii="Times New Roman" w:hAnsi="Times New Roman" w:cs="Times New Roman"/>
        </w:rPr>
        <w:t>s</w:t>
      </w:r>
      <w:r w:rsidR="00A91109" w:rsidRPr="00A91109">
        <w:rPr>
          <w:rFonts w:ascii="Times New Roman" w:hAnsi="Times New Roman" w:cs="Times New Roman"/>
        </w:rPr>
        <w:t xml:space="preserve"> objektīvi nepamatot</w:t>
      </w:r>
      <w:r w:rsidR="00D54153">
        <w:rPr>
          <w:rFonts w:ascii="Times New Roman" w:hAnsi="Times New Roman" w:cs="Times New Roman"/>
        </w:rPr>
        <w:t>s</w:t>
      </w:r>
      <w:r w:rsidR="00A91109" w:rsidRPr="00A91109">
        <w:rPr>
          <w:rFonts w:ascii="Times New Roman" w:hAnsi="Times New Roman" w:cs="Times New Roman"/>
        </w:rPr>
        <w:t xml:space="preserve"> saistību pieaugumu, </w:t>
      </w:r>
      <w:r w:rsidR="00D54153">
        <w:rPr>
          <w:rFonts w:ascii="Times New Roman" w:hAnsi="Times New Roman" w:cs="Times New Roman"/>
        </w:rPr>
        <w:t>kas neļauj</w:t>
      </w:r>
      <w:r w:rsidR="00A91109" w:rsidRPr="00A91109">
        <w:rPr>
          <w:rFonts w:ascii="Times New Roman" w:hAnsi="Times New Roman" w:cs="Times New Roman"/>
        </w:rPr>
        <w:t xml:space="preserve"> apmierināt kreditoru prasījumus</w:t>
      </w:r>
      <w:r w:rsidR="00D54153">
        <w:rPr>
          <w:rFonts w:ascii="Times New Roman" w:hAnsi="Times New Roman" w:cs="Times New Roman"/>
        </w:rPr>
        <w:t xml:space="preserve"> </w:t>
      </w:r>
      <w:r w:rsidR="004452B6" w:rsidRPr="00F36B06">
        <w:rPr>
          <w:rFonts w:ascii="Times New Roman" w:hAnsi="Times New Roman" w:cs="Times New Roman"/>
        </w:rPr>
        <w:t>utt.</w:t>
      </w:r>
    </w:p>
    <w:p w14:paraId="735BA44B" w14:textId="77777777" w:rsidR="008507F9" w:rsidRPr="00F36B06" w:rsidRDefault="00092A90" w:rsidP="008507F9">
      <w:pPr>
        <w:autoSpaceDE w:val="0"/>
        <w:autoSpaceDN w:val="0"/>
        <w:adjustRightInd w:val="0"/>
        <w:spacing w:after="0" w:line="240" w:lineRule="auto"/>
        <w:ind w:right="-81" w:firstLine="720"/>
        <w:jc w:val="both"/>
        <w:rPr>
          <w:rFonts w:ascii="Times New Roman" w:hAnsi="Times New Roman" w:cs="Times New Roman"/>
        </w:rPr>
      </w:pPr>
      <w:r w:rsidRPr="00F36B06">
        <w:rPr>
          <w:rFonts w:ascii="Times New Roman" w:hAnsi="Times New Roman" w:cs="Times New Roman"/>
        </w:rPr>
        <w:t xml:space="preserve">Saskaņā ar Komerclikuma 169. panta pirmo daļu </w:t>
      </w:r>
      <w:r w:rsidR="00181A25" w:rsidRPr="00F36B06">
        <w:rPr>
          <w:rFonts w:ascii="Times New Roman" w:hAnsi="Times New Roman" w:cs="Times New Roman"/>
        </w:rPr>
        <w:t>v</w:t>
      </w:r>
      <w:r w:rsidR="00560584" w:rsidRPr="00F36B06">
        <w:rPr>
          <w:rFonts w:ascii="Times New Roman" w:hAnsi="Times New Roman" w:cs="Times New Roman"/>
        </w:rPr>
        <w:t>aldes</w:t>
      </w:r>
      <w:r w:rsidR="008A447B" w:rsidRPr="00F36B06">
        <w:rPr>
          <w:rFonts w:ascii="Times New Roman" w:hAnsi="Times New Roman" w:cs="Times New Roman"/>
        </w:rPr>
        <w:t xml:space="preserve"> (arī padomes)</w:t>
      </w:r>
      <w:r w:rsidR="00560584" w:rsidRPr="00F36B06">
        <w:rPr>
          <w:rFonts w:ascii="Times New Roman" w:hAnsi="Times New Roman" w:cs="Times New Roman"/>
        </w:rPr>
        <w:t xml:space="preserve"> loceklim savi pienākumi jāpilda kā krietnam un rūpīgam saimniekam</w:t>
      </w:r>
      <w:r w:rsidR="00181A25" w:rsidRPr="00F36B06">
        <w:rPr>
          <w:rFonts w:ascii="Times New Roman" w:hAnsi="Times New Roman" w:cs="Times New Roman"/>
        </w:rPr>
        <w:t xml:space="preserve">, savukārt </w:t>
      </w:r>
      <w:r w:rsidR="00CA0223" w:rsidRPr="00F36B06">
        <w:rPr>
          <w:rFonts w:ascii="Times New Roman" w:hAnsi="Times New Roman" w:cs="Times New Roman"/>
        </w:rPr>
        <w:t xml:space="preserve">Komerclikuma 169. panta otrā daļa noteic, ka </w:t>
      </w:r>
      <w:r w:rsidR="0071027E" w:rsidRPr="00F36B06">
        <w:rPr>
          <w:rFonts w:ascii="Times New Roman" w:hAnsi="Times New Roman" w:cs="Times New Roman"/>
        </w:rPr>
        <w:t xml:space="preserve">valdes </w:t>
      </w:r>
      <w:r w:rsidR="008A447B" w:rsidRPr="00F36B06">
        <w:rPr>
          <w:rFonts w:ascii="Times New Roman" w:hAnsi="Times New Roman" w:cs="Times New Roman"/>
        </w:rPr>
        <w:t xml:space="preserve">(arī padomes) </w:t>
      </w:r>
      <w:r w:rsidR="0071027E" w:rsidRPr="00F36B06">
        <w:rPr>
          <w:rFonts w:ascii="Times New Roman" w:hAnsi="Times New Roman" w:cs="Times New Roman"/>
        </w:rPr>
        <w:t>locekļi solidāri atbild par zau</w:t>
      </w:r>
      <w:r w:rsidR="00E869BD" w:rsidRPr="00F36B06">
        <w:rPr>
          <w:rFonts w:ascii="Times New Roman" w:hAnsi="Times New Roman" w:cs="Times New Roman"/>
        </w:rPr>
        <w:t>dējumiem, ko tie ir nodarījuši sabiedrībai</w:t>
      </w:r>
      <w:r w:rsidR="00181A25" w:rsidRPr="00F36B06">
        <w:rPr>
          <w:rFonts w:ascii="Times New Roman" w:hAnsi="Times New Roman" w:cs="Times New Roman"/>
        </w:rPr>
        <w:t>.</w:t>
      </w:r>
      <w:r w:rsidR="00750332" w:rsidRPr="00F36B06">
        <w:rPr>
          <w:rFonts w:ascii="Times New Roman" w:hAnsi="Times New Roman" w:cs="Times New Roman"/>
        </w:rPr>
        <w:t xml:space="preserve"> Neapšaubāmi</w:t>
      </w:r>
      <w:r w:rsidR="00BB11A8" w:rsidRPr="00F36B06">
        <w:rPr>
          <w:rFonts w:ascii="Times New Roman" w:hAnsi="Times New Roman" w:cs="Times New Roman"/>
        </w:rPr>
        <w:t>, ņemot vērā Komerclikuma 137. pantā noteikto sabiedrības atbildības norobežošanas principu</w:t>
      </w:r>
      <w:r w:rsidR="00BB11A8" w:rsidRPr="00F36B06">
        <w:rPr>
          <w:rStyle w:val="FootnoteReference"/>
          <w:rFonts w:ascii="Times New Roman" w:hAnsi="Times New Roman" w:cs="Times New Roman"/>
        </w:rPr>
        <w:footnoteReference w:id="14"/>
      </w:r>
      <w:r w:rsidR="00BB11A8" w:rsidRPr="00F36B06">
        <w:rPr>
          <w:rFonts w:ascii="Times New Roman" w:hAnsi="Times New Roman" w:cs="Times New Roman"/>
        </w:rPr>
        <w:t>,</w:t>
      </w:r>
      <w:r w:rsidR="00750332" w:rsidRPr="00F36B06">
        <w:rPr>
          <w:rFonts w:ascii="Times New Roman" w:hAnsi="Times New Roman" w:cs="Times New Roman"/>
        </w:rPr>
        <w:t xml:space="preserve"> tiešā vaidā </w:t>
      </w:r>
      <w:r w:rsidR="00FD49CF" w:rsidRPr="00F36B06">
        <w:rPr>
          <w:rFonts w:ascii="Times New Roman" w:hAnsi="Times New Roman" w:cs="Times New Roman"/>
        </w:rPr>
        <w:t xml:space="preserve">šāds </w:t>
      </w:r>
      <w:r w:rsidR="00DB0F7B" w:rsidRPr="00F36B06">
        <w:rPr>
          <w:rFonts w:ascii="Times New Roman" w:hAnsi="Times New Roman" w:cs="Times New Roman"/>
        </w:rPr>
        <w:t>Kome</w:t>
      </w:r>
      <w:r w:rsidR="00FD49CF" w:rsidRPr="00F36B06">
        <w:rPr>
          <w:rFonts w:ascii="Times New Roman" w:hAnsi="Times New Roman" w:cs="Times New Roman"/>
        </w:rPr>
        <w:t xml:space="preserve">rclikuma regulējums </w:t>
      </w:r>
      <w:r w:rsidR="003167ED" w:rsidRPr="00F36B06">
        <w:rPr>
          <w:rFonts w:ascii="Times New Roman" w:hAnsi="Times New Roman" w:cs="Times New Roman"/>
        </w:rPr>
        <w:t xml:space="preserve">aizsargā sabiedrības intereses, </w:t>
      </w:r>
      <w:r w:rsidR="007C6AAC" w:rsidRPr="00F36B06">
        <w:rPr>
          <w:rFonts w:ascii="Times New Roman" w:hAnsi="Times New Roman" w:cs="Times New Roman"/>
        </w:rPr>
        <w:t>tomēr</w:t>
      </w:r>
      <w:r w:rsidR="004F1639" w:rsidRPr="00F36B06">
        <w:rPr>
          <w:rFonts w:ascii="Times New Roman" w:hAnsi="Times New Roman" w:cs="Times New Roman"/>
        </w:rPr>
        <w:t>, ievērojot apstāk</w:t>
      </w:r>
      <w:r w:rsidR="00E97A72" w:rsidRPr="00F36B06">
        <w:rPr>
          <w:rFonts w:ascii="Times New Roman" w:hAnsi="Times New Roman" w:cs="Times New Roman"/>
        </w:rPr>
        <w:t>l</w:t>
      </w:r>
      <w:r w:rsidR="004F1639" w:rsidRPr="00F36B06">
        <w:rPr>
          <w:rFonts w:ascii="Times New Roman" w:hAnsi="Times New Roman" w:cs="Times New Roman"/>
        </w:rPr>
        <w:t>i</w:t>
      </w:r>
      <w:r w:rsidR="00E12547" w:rsidRPr="00F36B06">
        <w:rPr>
          <w:rFonts w:ascii="Times New Roman" w:hAnsi="Times New Roman" w:cs="Times New Roman"/>
        </w:rPr>
        <w:t xml:space="preserve">, ka </w:t>
      </w:r>
      <w:r w:rsidR="007F69F3" w:rsidRPr="00F36B06">
        <w:rPr>
          <w:rFonts w:ascii="Times New Roman" w:hAnsi="Times New Roman" w:cs="Times New Roman"/>
        </w:rPr>
        <w:t>no parādnieka</w:t>
      </w:r>
      <w:r w:rsidR="00E8053F" w:rsidRPr="00F36B06">
        <w:rPr>
          <w:rFonts w:ascii="Times New Roman" w:hAnsi="Times New Roman" w:cs="Times New Roman"/>
        </w:rPr>
        <w:t xml:space="preserve"> mantas </w:t>
      </w:r>
      <w:r w:rsidR="00B96189" w:rsidRPr="00F36B06">
        <w:rPr>
          <w:rFonts w:ascii="Times New Roman" w:hAnsi="Times New Roman" w:cs="Times New Roman"/>
        </w:rPr>
        <w:t>tiek apmierināti sabiedrības kreditoru prasījum</w:t>
      </w:r>
      <w:r w:rsidR="00535991" w:rsidRPr="00F36B06">
        <w:rPr>
          <w:rFonts w:ascii="Times New Roman" w:hAnsi="Times New Roman" w:cs="Times New Roman"/>
        </w:rPr>
        <w:t xml:space="preserve">i, </w:t>
      </w:r>
      <w:r w:rsidR="00D0402E" w:rsidRPr="00F36B06">
        <w:rPr>
          <w:rFonts w:ascii="Times New Roman" w:hAnsi="Times New Roman" w:cs="Times New Roman"/>
        </w:rPr>
        <w:t>kreditoru interese arī ir šāda tiesi</w:t>
      </w:r>
      <w:r w:rsidR="001C454F" w:rsidRPr="00F36B06">
        <w:rPr>
          <w:rFonts w:ascii="Times New Roman" w:hAnsi="Times New Roman" w:cs="Times New Roman"/>
        </w:rPr>
        <w:t>s</w:t>
      </w:r>
      <w:r w:rsidR="00D0402E" w:rsidRPr="00F36B06">
        <w:rPr>
          <w:rFonts w:ascii="Times New Roman" w:hAnsi="Times New Roman" w:cs="Times New Roman"/>
        </w:rPr>
        <w:t>kā regulējuma aizsardzības objekts</w:t>
      </w:r>
      <w:r w:rsidR="007B0741" w:rsidRPr="00F36B06">
        <w:rPr>
          <w:rFonts w:ascii="Times New Roman" w:hAnsi="Times New Roman" w:cs="Times New Roman"/>
        </w:rPr>
        <w:t>.</w:t>
      </w:r>
      <w:r w:rsidR="007C6AAC" w:rsidRPr="00F36B06">
        <w:rPr>
          <w:rFonts w:ascii="Times New Roman" w:hAnsi="Times New Roman" w:cs="Times New Roman"/>
        </w:rPr>
        <w:t xml:space="preserve"> </w:t>
      </w:r>
    </w:p>
    <w:p w14:paraId="5DBA586A" w14:textId="4EB43B81" w:rsidR="00214307" w:rsidRPr="00F36B06" w:rsidRDefault="00214307" w:rsidP="008507F9">
      <w:pPr>
        <w:autoSpaceDE w:val="0"/>
        <w:autoSpaceDN w:val="0"/>
        <w:adjustRightInd w:val="0"/>
        <w:spacing w:after="0" w:line="240" w:lineRule="auto"/>
        <w:ind w:right="-81" w:firstLine="720"/>
        <w:jc w:val="both"/>
        <w:rPr>
          <w:rFonts w:ascii="Times New Roman" w:eastAsia="Times New Roman" w:hAnsi="Times New Roman" w:cs="Times New Roman"/>
          <w:kern w:val="0"/>
          <w14:ligatures w14:val="none"/>
        </w:rPr>
      </w:pPr>
      <w:r w:rsidRPr="00F36B06">
        <w:rPr>
          <w:rFonts w:ascii="Times New Roman" w:eastAsia="Times New Roman" w:hAnsi="Times New Roman" w:cs="Times New Roman"/>
          <w:kern w:val="0"/>
          <w14:ligatures w14:val="none"/>
        </w:rPr>
        <w:t>Tādējādi administrators maksātnespējas procesā, atgūstot parādnieka mantu un ceļot tiesā prasības par zaudējumu atlīdzību, rīkojas kreditoru interesēs. Proti, lai arī prasība par zaudējumu atlīdzību tiek celta par labu parādniekam, faktiski cietušie ir parādnieka kreditori.</w:t>
      </w:r>
    </w:p>
    <w:p w14:paraId="504EB727" w14:textId="6809F2ED" w:rsidR="00835C6B" w:rsidRPr="00F36B06" w:rsidRDefault="00DF061D" w:rsidP="00C42F47">
      <w:pPr>
        <w:spacing w:after="0" w:line="240" w:lineRule="auto"/>
        <w:ind w:firstLine="720"/>
        <w:jc w:val="both"/>
        <w:rPr>
          <w:rFonts w:ascii="Times New Roman" w:hAnsi="Times New Roman" w:cs="Times New Roman"/>
        </w:rPr>
      </w:pPr>
      <w:r w:rsidRPr="00F36B06">
        <w:rPr>
          <w:rFonts w:ascii="Times New Roman" w:hAnsi="Times New Roman" w:cs="Times New Roman"/>
        </w:rPr>
        <w:lastRenderedPageBreak/>
        <w:t>A</w:t>
      </w:r>
      <w:r w:rsidR="00EF039D" w:rsidRPr="00F36B06">
        <w:rPr>
          <w:rFonts w:ascii="Times New Roman" w:hAnsi="Times New Roman" w:cs="Times New Roman"/>
        </w:rPr>
        <w:t xml:space="preserve">rī Maksātnespējas </w:t>
      </w:r>
      <w:r w:rsidR="00A57D6D" w:rsidRPr="00F36B06">
        <w:rPr>
          <w:rFonts w:ascii="Times New Roman" w:hAnsi="Times New Roman" w:cs="Times New Roman"/>
        </w:rPr>
        <w:t xml:space="preserve">likums nosaka administratoram kā sabiedrības likumiskajam pārstāvim </w:t>
      </w:r>
      <w:r w:rsidR="00EF1DCC" w:rsidRPr="00F36B06">
        <w:rPr>
          <w:rFonts w:ascii="Times New Roman" w:hAnsi="Times New Roman" w:cs="Times New Roman"/>
        </w:rPr>
        <w:t xml:space="preserve">pienākumu </w:t>
      </w:r>
      <w:r w:rsidR="00E54062" w:rsidRPr="00F36B06">
        <w:rPr>
          <w:rFonts w:ascii="Times New Roman" w:hAnsi="Times New Roman" w:cs="Times New Roman"/>
        </w:rPr>
        <w:t>g</w:t>
      </w:r>
      <w:r w:rsidR="003700B8" w:rsidRPr="00F36B06">
        <w:rPr>
          <w:rFonts w:ascii="Times New Roman" w:hAnsi="Times New Roman" w:cs="Times New Roman"/>
        </w:rPr>
        <w:t xml:space="preserve">an </w:t>
      </w:r>
      <w:r w:rsidR="00EF1DCC" w:rsidRPr="00F36B06">
        <w:rPr>
          <w:rFonts w:ascii="Times New Roman" w:hAnsi="Times New Roman" w:cs="Times New Roman"/>
        </w:rPr>
        <w:t xml:space="preserve">tādos </w:t>
      </w:r>
      <w:r w:rsidR="003700B8" w:rsidRPr="00F36B06">
        <w:rPr>
          <w:rFonts w:ascii="Times New Roman" w:hAnsi="Times New Roman" w:cs="Times New Roman"/>
        </w:rPr>
        <w:t xml:space="preserve">maksātnespējas procesos, </w:t>
      </w:r>
      <w:bookmarkStart w:id="2" w:name="_Hlk187516880"/>
      <w:r w:rsidR="003700B8" w:rsidRPr="00F36B06">
        <w:rPr>
          <w:rFonts w:ascii="Times New Roman" w:hAnsi="Times New Roman" w:cs="Times New Roman"/>
        </w:rPr>
        <w:t>kur</w:t>
      </w:r>
      <w:r w:rsidR="002F6390" w:rsidRPr="00F36B06">
        <w:rPr>
          <w:rFonts w:ascii="Times New Roman" w:hAnsi="Times New Roman" w:cs="Times New Roman"/>
        </w:rPr>
        <w:t>os</w:t>
      </w:r>
      <w:r w:rsidR="003700B8" w:rsidRPr="00F36B06">
        <w:rPr>
          <w:rFonts w:ascii="Times New Roman" w:hAnsi="Times New Roman" w:cs="Times New Roman"/>
        </w:rPr>
        <w:t xml:space="preserve"> sastādīts MPP</w:t>
      </w:r>
      <w:bookmarkEnd w:id="2"/>
      <w:r w:rsidR="009A6D00" w:rsidRPr="00F36B06">
        <w:rPr>
          <w:rFonts w:ascii="Times New Roman" w:hAnsi="Times New Roman" w:cs="Times New Roman"/>
        </w:rPr>
        <w:t xml:space="preserve">, gan </w:t>
      </w:r>
      <w:r w:rsidR="00EF1DCC" w:rsidRPr="00F36B06">
        <w:rPr>
          <w:rFonts w:ascii="Times New Roman" w:hAnsi="Times New Roman" w:cs="Times New Roman"/>
        </w:rPr>
        <w:t xml:space="preserve">tādos </w:t>
      </w:r>
      <w:r w:rsidR="009A6D00" w:rsidRPr="00F36B06">
        <w:rPr>
          <w:rFonts w:ascii="Times New Roman" w:hAnsi="Times New Roman" w:cs="Times New Roman"/>
        </w:rPr>
        <w:t>maksātnespējas procesos, kur</w:t>
      </w:r>
      <w:r w:rsidR="002F6390" w:rsidRPr="00F36B06">
        <w:rPr>
          <w:rFonts w:ascii="Times New Roman" w:hAnsi="Times New Roman" w:cs="Times New Roman"/>
        </w:rPr>
        <w:t>os</w:t>
      </w:r>
      <w:r w:rsidR="009A6D00" w:rsidRPr="00F36B06">
        <w:rPr>
          <w:rFonts w:ascii="Times New Roman" w:hAnsi="Times New Roman" w:cs="Times New Roman"/>
        </w:rPr>
        <w:t xml:space="preserve"> sastādīts </w:t>
      </w:r>
      <w:r w:rsidR="003700B8" w:rsidRPr="00F36B06">
        <w:rPr>
          <w:rFonts w:ascii="Times New Roman" w:hAnsi="Times New Roman" w:cs="Times New Roman"/>
        </w:rPr>
        <w:t>ZPMN</w:t>
      </w:r>
      <w:r w:rsidR="00EF1DCC" w:rsidRPr="00F36B06">
        <w:rPr>
          <w:rFonts w:ascii="Times New Roman" w:hAnsi="Times New Roman" w:cs="Times New Roman"/>
        </w:rPr>
        <w:t>,</w:t>
      </w:r>
      <w:r w:rsidR="004452B6" w:rsidRPr="00F36B06">
        <w:rPr>
          <w:rFonts w:ascii="Times New Roman" w:hAnsi="Times New Roman" w:cs="Times New Roman"/>
        </w:rPr>
        <w:t xml:space="preserve"> </w:t>
      </w:r>
      <w:r w:rsidR="00210C0C" w:rsidRPr="00F36B06">
        <w:rPr>
          <w:rFonts w:ascii="Times New Roman" w:hAnsi="Times New Roman" w:cs="Times New Roman"/>
        </w:rPr>
        <w:t>izvērtēt un celt tiesā prasīb</w:t>
      </w:r>
      <w:r w:rsidR="0046431C" w:rsidRPr="00F36B06">
        <w:rPr>
          <w:rFonts w:ascii="Times New Roman" w:hAnsi="Times New Roman" w:cs="Times New Roman"/>
        </w:rPr>
        <w:t>u</w:t>
      </w:r>
      <w:r w:rsidR="00210C0C" w:rsidRPr="00F36B06">
        <w:rPr>
          <w:rFonts w:ascii="Times New Roman" w:hAnsi="Times New Roman" w:cs="Times New Roman"/>
        </w:rPr>
        <w:t xml:space="preserve"> pret juridiskās personas pārvaldes institūciju locekļiem un kapitālsabiedrības dalībniekiem par viņu nodarīto zaudējumu atlīdzību, kā arī pret personālsabiedrības personiski atbildīgajiem biedriem sakarā ar viņu pienākumu ar savu mantu atbildēt par personālsabiedrības saistībām</w:t>
      </w:r>
      <w:r w:rsidR="00FD7F68" w:rsidRPr="00F36B06">
        <w:rPr>
          <w:rFonts w:ascii="Times New Roman" w:hAnsi="Times New Roman" w:cs="Times New Roman"/>
        </w:rPr>
        <w:t>.</w:t>
      </w:r>
      <w:r w:rsidR="00044FFC" w:rsidRPr="00F36B06">
        <w:rPr>
          <w:rStyle w:val="FootnoteReference"/>
          <w:rFonts w:ascii="Times New Roman" w:hAnsi="Times New Roman" w:cs="Times New Roman"/>
        </w:rPr>
        <w:footnoteReference w:id="15"/>
      </w:r>
      <w:r w:rsidR="00C42F47" w:rsidRPr="00F36B06">
        <w:rPr>
          <w:rFonts w:ascii="Times New Roman" w:hAnsi="Times New Roman" w:cs="Times New Roman"/>
        </w:rPr>
        <w:t xml:space="preserve"> Tāpat administratoram ir pienākums</w:t>
      </w:r>
      <w:r w:rsidR="00210C0C" w:rsidRPr="00F36B06">
        <w:rPr>
          <w:rFonts w:ascii="Times New Roman" w:hAnsi="Times New Roman" w:cs="Times New Roman"/>
        </w:rPr>
        <w:t xml:space="preserve"> pieprasīt, lai parādnieka dalībnieki izpilda savas saistības attiecībā uz parādnieka pamatkapitālu vai citu mantu, un iesniegt tiesai prasības par šādu saistību izpildi.</w:t>
      </w:r>
      <w:r w:rsidR="00E806E4" w:rsidRPr="00F36B06">
        <w:rPr>
          <w:rStyle w:val="FootnoteReference"/>
          <w:rFonts w:ascii="Times New Roman" w:hAnsi="Times New Roman" w:cs="Times New Roman"/>
        </w:rPr>
        <w:footnoteReference w:id="16"/>
      </w:r>
    </w:p>
    <w:p w14:paraId="1B560BBD" w14:textId="2DDADA3D" w:rsidR="00E5048F" w:rsidRPr="00F36B06" w:rsidRDefault="00085DA1"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Īpaša zaudējumu atlīdzības prasījumu kategorija ir </w:t>
      </w:r>
      <w:r w:rsidR="00202E45" w:rsidRPr="00F36B06">
        <w:rPr>
          <w:rFonts w:ascii="Times New Roman" w:hAnsi="Times New Roman" w:cs="Times New Roman"/>
        </w:rPr>
        <w:t>Maksātnespējas likuma 72.</w:t>
      </w:r>
      <w:r w:rsidR="00202E45" w:rsidRPr="00F36B06">
        <w:rPr>
          <w:rFonts w:ascii="Times New Roman" w:hAnsi="Times New Roman" w:cs="Times New Roman"/>
          <w:vertAlign w:val="superscript"/>
        </w:rPr>
        <w:t>1</w:t>
      </w:r>
      <w:r w:rsidR="00202E45" w:rsidRPr="00F36B06">
        <w:rPr>
          <w:rFonts w:ascii="Times New Roman" w:hAnsi="Times New Roman" w:cs="Times New Roman"/>
        </w:rPr>
        <w:t> pantā</w:t>
      </w:r>
      <w:r w:rsidR="007475E9" w:rsidRPr="00F36B06">
        <w:rPr>
          <w:rFonts w:ascii="Times New Roman" w:hAnsi="Times New Roman" w:cs="Times New Roman"/>
        </w:rPr>
        <w:t xml:space="preserve"> noteiktās prasības, ko</w:t>
      </w:r>
      <w:r w:rsidR="00835C6B" w:rsidRPr="00F36B06">
        <w:rPr>
          <w:rFonts w:ascii="Times New Roman" w:hAnsi="Times New Roman" w:cs="Times New Roman"/>
        </w:rPr>
        <w:t xml:space="preserve"> administrators</w:t>
      </w:r>
      <w:r w:rsidR="003A4C16" w:rsidRPr="00F36B06">
        <w:rPr>
          <w:rFonts w:ascii="Times New Roman" w:hAnsi="Times New Roman" w:cs="Times New Roman"/>
        </w:rPr>
        <w:t xml:space="preserve"> ceļ pret</w:t>
      </w:r>
      <w:r w:rsidR="00FC2F85" w:rsidRPr="00F36B06">
        <w:rPr>
          <w:rFonts w:ascii="Times New Roman" w:hAnsi="Times New Roman" w:cs="Times New Roman"/>
        </w:rPr>
        <w:t xml:space="preserve"> p</w:t>
      </w:r>
      <w:r w:rsidR="00835C6B" w:rsidRPr="00F36B06">
        <w:rPr>
          <w:rFonts w:ascii="Times New Roman" w:hAnsi="Times New Roman" w:cs="Times New Roman"/>
        </w:rPr>
        <w:t>arādnieka valdes locekļi</w:t>
      </w:r>
      <w:r w:rsidR="00FC2F85" w:rsidRPr="00F36B06">
        <w:rPr>
          <w:rFonts w:ascii="Times New Roman" w:hAnsi="Times New Roman" w:cs="Times New Roman"/>
        </w:rPr>
        <w:t>em, k</w:t>
      </w:r>
      <w:r w:rsidR="00466985" w:rsidRPr="00F36B06">
        <w:rPr>
          <w:rFonts w:ascii="Times New Roman" w:hAnsi="Times New Roman" w:cs="Times New Roman"/>
        </w:rPr>
        <w:t>uri</w:t>
      </w:r>
      <w:r w:rsidR="00FC2F85" w:rsidRPr="00F36B06">
        <w:rPr>
          <w:rFonts w:ascii="Times New Roman" w:hAnsi="Times New Roman" w:cs="Times New Roman"/>
        </w:rPr>
        <w:t xml:space="preserve"> </w:t>
      </w:r>
      <w:r w:rsidR="00835C6B" w:rsidRPr="00F36B06">
        <w:rPr>
          <w:rFonts w:ascii="Times New Roman" w:hAnsi="Times New Roman" w:cs="Times New Roman"/>
        </w:rPr>
        <w:t>solidāri atbild par zaudējumiem parādniekam, ja administratoram netiek nodoti parādnieka grāmatvedības dokumenti vai tie ir tādā stāvoklī, kas neļauj gūt skaidru priekšstatu par parādnieka darījumiem un mantas stāvokli pēdējos trijos gados pirms maksātnespējas procesa pasludināšanas.</w:t>
      </w:r>
      <w:r w:rsidR="00001EE4" w:rsidRPr="00F36B06">
        <w:rPr>
          <w:rFonts w:ascii="Times New Roman" w:hAnsi="Times New Roman" w:cs="Times New Roman"/>
        </w:rPr>
        <w:t xml:space="preserve"> </w:t>
      </w:r>
      <w:r w:rsidR="00970544" w:rsidRPr="00F36B06">
        <w:rPr>
          <w:rFonts w:ascii="Times New Roman" w:hAnsi="Times New Roman" w:cs="Times New Roman"/>
        </w:rPr>
        <w:t xml:space="preserve">Šajās prasībās administratoram ir noteikta </w:t>
      </w:r>
      <w:r w:rsidR="00A1552D" w:rsidRPr="00F36B06">
        <w:rPr>
          <w:rFonts w:ascii="Times New Roman" w:hAnsi="Times New Roman" w:cs="Times New Roman"/>
        </w:rPr>
        <w:t xml:space="preserve">īpaša kārtība nodarīto zaudējumu apmēra noteikšanai </w:t>
      </w:r>
      <w:r w:rsidR="003D7239" w:rsidRPr="00F36B06">
        <w:rPr>
          <w:rFonts w:ascii="Times New Roman" w:hAnsi="Times New Roman" w:cs="Times New Roman"/>
        </w:rPr>
        <w:t>–</w:t>
      </w:r>
      <w:r w:rsidR="00A1552D" w:rsidRPr="00F36B06">
        <w:rPr>
          <w:rFonts w:ascii="Times New Roman" w:hAnsi="Times New Roman" w:cs="Times New Roman"/>
        </w:rPr>
        <w:t xml:space="preserve"> par parādniekam nodarīto zaudējumu apmēru tiek uzskatīti parādnieka maksātnespējas procesā atzītie kreditoru prasījumi pamatparāda apmērā, kurus nav iespējams segt parādnieka maksātnespējas proces</w:t>
      </w:r>
      <w:r w:rsidR="000A0078" w:rsidRPr="00F36B06">
        <w:rPr>
          <w:rFonts w:ascii="Times New Roman" w:hAnsi="Times New Roman" w:cs="Times New Roman"/>
        </w:rPr>
        <w:t>ā</w:t>
      </w:r>
      <w:r w:rsidR="00A1552D" w:rsidRPr="00F36B06">
        <w:rPr>
          <w:rFonts w:ascii="Times New Roman" w:hAnsi="Times New Roman" w:cs="Times New Roman"/>
        </w:rPr>
        <w:t>.</w:t>
      </w:r>
      <w:r w:rsidR="003D7239" w:rsidRPr="00F36B06">
        <w:rPr>
          <w:rStyle w:val="FootnoteReference"/>
          <w:rFonts w:ascii="Times New Roman" w:hAnsi="Times New Roman" w:cs="Times New Roman"/>
        </w:rPr>
        <w:footnoteReference w:id="17"/>
      </w:r>
    </w:p>
    <w:p w14:paraId="098C244C" w14:textId="77777777" w:rsidR="00E87AC1" w:rsidRPr="00F36B06" w:rsidRDefault="00D60D6B" w:rsidP="00092F78">
      <w:pPr>
        <w:spacing w:after="0" w:line="240" w:lineRule="auto"/>
        <w:ind w:firstLine="720"/>
        <w:jc w:val="both"/>
        <w:rPr>
          <w:rFonts w:ascii="Times New Roman" w:hAnsi="Times New Roman" w:cs="Times New Roman"/>
        </w:rPr>
      </w:pPr>
      <w:r w:rsidRPr="00F36B06">
        <w:rPr>
          <w:rFonts w:ascii="Times New Roman" w:hAnsi="Times New Roman" w:cs="Times New Roman"/>
        </w:rPr>
        <w:t>Vienlaikus</w:t>
      </w:r>
      <w:r w:rsidR="0029680B" w:rsidRPr="00F36B06">
        <w:rPr>
          <w:rFonts w:ascii="Times New Roman" w:hAnsi="Times New Roman" w:cs="Times New Roman"/>
        </w:rPr>
        <w:t xml:space="preserve"> </w:t>
      </w:r>
      <w:r w:rsidR="00DF061D" w:rsidRPr="00F36B06">
        <w:rPr>
          <w:rFonts w:ascii="Times New Roman" w:hAnsi="Times New Roman" w:cs="Times New Roman"/>
        </w:rPr>
        <w:t>papi</w:t>
      </w:r>
      <w:r w:rsidR="00237455" w:rsidRPr="00F36B06">
        <w:rPr>
          <w:rFonts w:ascii="Times New Roman" w:hAnsi="Times New Roman" w:cs="Times New Roman"/>
        </w:rPr>
        <w:t>ld</w:t>
      </w:r>
      <w:r w:rsidR="00DF061D" w:rsidRPr="00F36B06">
        <w:rPr>
          <w:rFonts w:ascii="Times New Roman" w:hAnsi="Times New Roman" w:cs="Times New Roman"/>
        </w:rPr>
        <w:t xml:space="preserve">us </w:t>
      </w:r>
      <w:r w:rsidR="0029680B" w:rsidRPr="00F36B06">
        <w:rPr>
          <w:rFonts w:ascii="Times New Roman" w:hAnsi="Times New Roman" w:cs="Times New Roman"/>
        </w:rPr>
        <w:t>zaudējumu atlīdzības prasībām</w:t>
      </w:r>
      <w:r w:rsidR="00AC7622" w:rsidRPr="00F36B06">
        <w:rPr>
          <w:rFonts w:ascii="Times New Roman" w:hAnsi="Times New Roman" w:cs="Times New Roman"/>
        </w:rPr>
        <w:t xml:space="preserve"> </w:t>
      </w:r>
      <w:r w:rsidR="005F5986" w:rsidRPr="00F36B06">
        <w:rPr>
          <w:rFonts w:ascii="Times New Roman" w:hAnsi="Times New Roman" w:cs="Times New Roman"/>
        </w:rPr>
        <w:t>Latvijas m</w:t>
      </w:r>
      <w:r w:rsidR="00AC7622" w:rsidRPr="00F36B06">
        <w:rPr>
          <w:rFonts w:ascii="Times New Roman" w:hAnsi="Times New Roman" w:cs="Times New Roman"/>
        </w:rPr>
        <w:t>aksātnespējas regulējums</w:t>
      </w:r>
      <w:r w:rsidR="00DA2DD7" w:rsidRPr="00F36B06">
        <w:rPr>
          <w:rFonts w:ascii="Times New Roman" w:hAnsi="Times New Roman" w:cs="Times New Roman"/>
        </w:rPr>
        <w:t>,</w:t>
      </w:r>
      <w:r w:rsidR="00850B3F" w:rsidRPr="00F36B06">
        <w:rPr>
          <w:rFonts w:ascii="Times New Roman" w:hAnsi="Times New Roman" w:cs="Times New Roman"/>
        </w:rPr>
        <w:t xml:space="preserve"> tāpat k</w:t>
      </w:r>
      <w:r w:rsidR="00EF19E8" w:rsidRPr="00F36B06">
        <w:rPr>
          <w:rFonts w:ascii="Times New Roman" w:hAnsi="Times New Roman" w:cs="Times New Roman"/>
        </w:rPr>
        <w:t xml:space="preserve">ā </w:t>
      </w:r>
      <w:r w:rsidR="00DF061D" w:rsidRPr="00F36B06">
        <w:rPr>
          <w:rFonts w:ascii="Times New Roman" w:hAnsi="Times New Roman" w:cs="Times New Roman"/>
        </w:rPr>
        <w:t>citās valstīs</w:t>
      </w:r>
      <w:r w:rsidR="00DA2DD7" w:rsidRPr="00F36B06">
        <w:rPr>
          <w:rFonts w:ascii="Times New Roman" w:hAnsi="Times New Roman" w:cs="Times New Roman"/>
        </w:rPr>
        <w:t>,</w:t>
      </w:r>
      <w:r w:rsidR="00AC7622" w:rsidRPr="00F36B06">
        <w:rPr>
          <w:rFonts w:ascii="Times New Roman" w:hAnsi="Times New Roman" w:cs="Times New Roman"/>
        </w:rPr>
        <w:t xml:space="preserve"> </w:t>
      </w:r>
      <w:r w:rsidR="00850B3F" w:rsidRPr="00F36B06">
        <w:rPr>
          <w:rFonts w:ascii="Times New Roman" w:hAnsi="Times New Roman" w:cs="Times New Roman"/>
        </w:rPr>
        <w:t>satur normas</w:t>
      </w:r>
      <w:r w:rsidR="00DA2DD7" w:rsidRPr="00F36B06">
        <w:rPr>
          <w:rFonts w:ascii="Times New Roman" w:hAnsi="Times New Roman" w:cs="Times New Roman"/>
        </w:rPr>
        <w:t xml:space="preserve">, </w:t>
      </w:r>
      <w:r w:rsidR="007E15B2" w:rsidRPr="00F36B06">
        <w:rPr>
          <w:rFonts w:ascii="Times New Roman" w:hAnsi="Times New Roman" w:cs="Times New Roman"/>
        </w:rPr>
        <w:t>kuru nolūks ir atcelt tos iepriekš veiktos darījumus, kurus noslēdzis maksātnespējīgais parādnieks</w:t>
      </w:r>
      <w:r w:rsidR="00217FEC" w:rsidRPr="00F36B06">
        <w:rPr>
          <w:rFonts w:ascii="Times New Roman" w:hAnsi="Times New Roman" w:cs="Times New Roman"/>
        </w:rPr>
        <w:t>, ja</w:t>
      </w:r>
      <w:r w:rsidR="0011204E" w:rsidRPr="00F36B06">
        <w:rPr>
          <w:rFonts w:ascii="Times New Roman" w:hAnsi="Times New Roman" w:cs="Times New Roman"/>
        </w:rPr>
        <w:t xml:space="preserve"> to</w:t>
      </w:r>
      <w:r w:rsidR="00217FEC" w:rsidRPr="00F36B06">
        <w:rPr>
          <w:rFonts w:ascii="Times New Roman" w:hAnsi="Times New Roman" w:cs="Times New Roman"/>
        </w:rPr>
        <w:t xml:space="preserve"> rezultātā </w:t>
      </w:r>
      <w:r w:rsidR="0011204E" w:rsidRPr="00F36B06">
        <w:rPr>
          <w:rFonts w:ascii="Times New Roman" w:hAnsi="Times New Roman" w:cs="Times New Roman"/>
        </w:rPr>
        <w:t>ir</w:t>
      </w:r>
      <w:r w:rsidR="00F9397B" w:rsidRPr="00F36B06">
        <w:rPr>
          <w:rFonts w:ascii="Times New Roman" w:hAnsi="Times New Roman" w:cs="Times New Roman"/>
        </w:rPr>
        <w:t xml:space="preserve"> </w:t>
      </w:r>
      <w:r w:rsidR="007E15B2" w:rsidRPr="00F36B06">
        <w:rPr>
          <w:rFonts w:ascii="Times New Roman" w:hAnsi="Times New Roman" w:cs="Times New Roman"/>
        </w:rPr>
        <w:t>samazinā</w:t>
      </w:r>
      <w:r w:rsidR="00F9397B" w:rsidRPr="00F36B06">
        <w:rPr>
          <w:rFonts w:ascii="Times New Roman" w:hAnsi="Times New Roman" w:cs="Times New Roman"/>
        </w:rPr>
        <w:t>ta parādnieka mantas vērtība</w:t>
      </w:r>
      <w:r w:rsidR="001D0567" w:rsidRPr="00F36B06">
        <w:rPr>
          <w:rFonts w:ascii="Times New Roman" w:hAnsi="Times New Roman" w:cs="Times New Roman"/>
        </w:rPr>
        <w:t xml:space="preserve">. Maksātnespējas gadījumā darījumus parasti iespējams </w:t>
      </w:r>
      <w:r w:rsidR="003A3658" w:rsidRPr="00F36B06">
        <w:rPr>
          <w:rFonts w:ascii="Times New Roman" w:hAnsi="Times New Roman" w:cs="Times New Roman"/>
        </w:rPr>
        <w:t>atcelt</w:t>
      </w:r>
      <w:r w:rsidR="00E87AC1" w:rsidRPr="00F36B06">
        <w:rPr>
          <w:rFonts w:ascii="Times New Roman" w:hAnsi="Times New Roman" w:cs="Times New Roman"/>
        </w:rPr>
        <w:t>:</w:t>
      </w:r>
    </w:p>
    <w:p w14:paraId="3F0915E9" w14:textId="1DD8D7B6" w:rsidR="00E87AC1" w:rsidRPr="00F36B06" w:rsidRDefault="00E87AC1" w:rsidP="00E87AC1">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 </w:t>
      </w:r>
      <w:r w:rsidR="001D0567" w:rsidRPr="00F36B06">
        <w:rPr>
          <w:rFonts w:ascii="Times New Roman" w:hAnsi="Times New Roman" w:cs="Times New Roman"/>
        </w:rPr>
        <w:t>lai nepieļautu krāpšanu (t. i., darījumus, kuru nolūks ir noslēpt aktīvus, lai no tiem vēlāk labumu gūtu parādnieks vai parādnieka uzņēmuma darbinieki, īpašnieki vai vadītāji</w:t>
      </w:r>
      <w:r w:rsidR="00890CFD" w:rsidRPr="00F36B06">
        <w:rPr>
          <w:rFonts w:ascii="Times New Roman" w:hAnsi="Times New Roman" w:cs="Times New Roman"/>
        </w:rPr>
        <w:t xml:space="preserve">, piemēram, </w:t>
      </w:r>
      <w:r w:rsidR="00226E3E" w:rsidRPr="00F36B06">
        <w:rPr>
          <w:rFonts w:ascii="Times New Roman" w:hAnsi="Times New Roman" w:cs="Times New Roman"/>
        </w:rPr>
        <w:t xml:space="preserve">mantas </w:t>
      </w:r>
      <w:r w:rsidR="00890CFD" w:rsidRPr="00F36B06">
        <w:rPr>
          <w:rFonts w:ascii="Times New Roman" w:hAnsi="Times New Roman" w:cs="Times New Roman"/>
        </w:rPr>
        <w:t>atsavināšana par nesamērīgi zemu ce</w:t>
      </w:r>
      <w:r w:rsidR="00226E3E" w:rsidRPr="00F36B06">
        <w:rPr>
          <w:rFonts w:ascii="Times New Roman" w:hAnsi="Times New Roman" w:cs="Times New Roman"/>
        </w:rPr>
        <w:t>nu vai nodošana bez atlīdzības trešajām personām, kas saistītas ar parādnieku</w:t>
      </w:r>
      <w:r w:rsidR="001D0567" w:rsidRPr="00F36B06">
        <w:rPr>
          <w:rFonts w:ascii="Times New Roman" w:hAnsi="Times New Roman" w:cs="Times New Roman"/>
        </w:rPr>
        <w:t>)</w:t>
      </w:r>
      <w:r w:rsidR="00226E3E" w:rsidRPr="00F36B06">
        <w:rPr>
          <w:rFonts w:ascii="Times New Roman" w:hAnsi="Times New Roman" w:cs="Times New Roman"/>
        </w:rPr>
        <w:t>;</w:t>
      </w:r>
    </w:p>
    <w:p w14:paraId="22720022" w14:textId="77777777" w:rsidR="00BB12D9" w:rsidRPr="00F36B06" w:rsidRDefault="00E87AC1" w:rsidP="00E87AC1">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 </w:t>
      </w:r>
      <w:r w:rsidR="001D0567" w:rsidRPr="00F36B06">
        <w:rPr>
          <w:rFonts w:ascii="Times New Roman" w:hAnsi="Times New Roman" w:cs="Times New Roman"/>
        </w:rPr>
        <w:t>lai atbalstītu vispārēju kreditoru tiesību īstenošanu, nodrošinātu vienlīdzīgu attieksmi pret visiem kreditoriem, nepieļaujot favorītismu, ja parādnieks vēlas dot priekšroku dažiem kreditoriem uz pārējo kreditoru rēķina</w:t>
      </w:r>
      <w:r w:rsidR="007E15B2" w:rsidRPr="00F36B06">
        <w:rPr>
          <w:rFonts w:ascii="Times New Roman" w:hAnsi="Times New Roman" w:cs="Times New Roman"/>
        </w:rPr>
        <w:t xml:space="preserve"> (piemēram, atdāvinot savus aktīvus vai nododot vai pārdodot aktīvus par cenu, kas ir mazāka nekā to patiesā tirgus vērtība) vai rīcību, kura ir pretrunā principam, kas paredz ieņēmumu vienādu sadalīšanu visiem vienas kategorijas kreditoriem</w:t>
      </w:r>
      <w:r w:rsidR="005E6743" w:rsidRPr="00F36B06">
        <w:rPr>
          <w:rFonts w:ascii="Times New Roman" w:hAnsi="Times New Roman" w:cs="Times New Roman"/>
        </w:rPr>
        <w:t xml:space="preserve"> (piemēram, </w:t>
      </w:r>
      <w:r w:rsidR="00193CC3" w:rsidRPr="00F36B06">
        <w:rPr>
          <w:rFonts w:ascii="Times New Roman" w:hAnsi="Times New Roman" w:cs="Times New Roman"/>
        </w:rPr>
        <w:t>faktiskās maksātnespējas stāvoklī parādnieks nodot savu mantu vienam no kreditoriem</w:t>
      </w:r>
      <w:r w:rsidR="00DE2E23" w:rsidRPr="00F36B06">
        <w:rPr>
          <w:rFonts w:ascii="Times New Roman" w:hAnsi="Times New Roman" w:cs="Times New Roman"/>
        </w:rPr>
        <w:t>).</w:t>
      </w:r>
      <w:r w:rsidR="00657787" w:rsidRPr="00F36B06">
        <w:rPr>
          <w:rStyle w:val="FootnoteReference"/>
          <w:rFonts w:ascii="Times New Roman" w:hAnsi="Times New Roman" w:cs="Times New Roman"/>
        </w:rPr>
        <w:footnoteReference w:id="18"/>
      </w:r>
      <w:r w:rsidR="00092F78" w:rsidRPr="00F36B06">
        <w:rPr>
          <w:rFonts w:ascii="Times New Roman" w:hAnsi="Times New Roman" w:cs="Times New Roman"/>
        </w:rPr>
        <w:t xml:space="preserve"> </w:t>
      </w:r>
    </w:p>
    <w:p w14:paraId="1A04176A" w14:textId="36C79A2A" w:rsidR="007E2623" w:rsidRPr="00F36B06" w:rsidRDefault="00210C0C" w:rsidP="00E87AC1">
      <w:pPr>
        <w:spacing w:after="0" w:line="240" w:lineRule="auto"/>
        <w:ind w:firstLine="720"/>
        <w:jc w:val="both"/>
        <w:rPr>
          <w:rFonts w:ascii="Times New Roman" w:hAnsi="Times New Roman" w:cs="Times New Roman"/>
        </w:rPr>
      </w:pPr>
      <w:r w:rsidRPr="00F36B06">
        <w:rPr>
          <w:rFonts w:ascii="Times New Roman" w:hAnsi="Times New Roman" w:cs="Times New Roman"/>
        </w:rPr>
        <w:t>Maksātnespējas likuma XVII nodaļ</w:t>
      </w:r>
      <w:r w:rsidR="00F2433E" w:rsidRPr="00F36B06">
        <w:rPr>
          <w:rFonts w:ascii="Times New Roman" w:hAnsi="Times New Roman" w:cs="Times New Roman"/>
        </w:rPr>
        <w:t>ā ir ietvertas tiesību normas, kas</w:t>
      </w:r>
      <w:r w:rsidRPr="00F36B06">
        <w:rPr>
          <w:rFonts w:ascii="Times New Roman" w:hAnsi="Times New Roman" w:cs="Times New Roman"/>
        </w:rPr>
        <w:t xml:space="preserve"> uzliek administratoram pienākumu izvērtēt parādnieka darījumus un celt tiesā prasību par attiecīgā darījuma atzīšanu par spēkā neesošu.</w:t>
      </w:r>
      <w:r w:rsidR="005F07DC" w:rsidRPr="00F36B06">
        <w:rPr>
          <w:rFonts w:ascii="Times New Roman" w:hAnsi="Times New Roman" w:cs="Times New Roman"/>
        </w:rPr>
        <w:t xml:space="preserve"> </w:t>
      </w:r>
    </w:p>
    <w:p w14:paraId="73FFE5FE" w14:textId="691F7106" w:rsidR="006C5752" w:rsidRPr="00F36B06" w:rsidRDefault="006C5752" w:rsidP="006C5752">
      <w:pPr>
        <w:widowControl w:val="0"/>
        <w:autoSpaceDE w:val="0"/>
        <w:autoSpaceDN w:val="0"/>
        <w:adjustRightInd w:val="0"/>
        <w:spacing w:after="0" w:line="240" w:lineRule="auto"/>
        <w:ind w:right="-81" w:firstLine="720"/>
        <w:jc w:val="both"/>
        <w:rPr>
          <w:rFonts w:ascii="Times New Roman" w:eastAsia="Times New Roman" w:hAnsi="Times New Roman" w:cs="Times New Roman"/>
          <w:kern w:val="0"/>
          <w14:ligatures w14:val="none"/>
        </w:rPr>
      </w:pPr>
      <w:r w:rsidRPr="00F36B06">
        <w:rPr>
          <w:rFonts w:ascii="Times New Roman" w:eastAsia="Times New Roman" w:hAnsi="Times New Roman" w:cs="Times New Roman"/>
          <w:kern w:val="0"/>
          <w14:ligatures w14:val="none"/>
        </w:rPr>
        <w:t>Tāpat kā darījumu apstrīdēšanas prasību gadījumā, arī piemērojot zaudējumu atlīdzināšanas regulējumu maksātnespējas procesa ietvaros, svarīgi ņemt vērā šā institūta mērķi. Proti, zaudējumu atlīdzināšanas prasības mērķis ir atgūt līdzekļus, no kuriem apmierināt kreditoru pieteiktos prasījumus.</w:t>
      </w:r>
      <w:r w:rsidR="00D92C84" w:rsidRPr="00F36B06">
        <w:rPr>
          <w:rStyle w:val="FootnoteReference"/>
          <w:rFonts w:ascii="Times New Roman" w:eastAsia="Times New Roman" w:hAnsi="Times New Roman" w:cs="Times New Roman"/>
          <w:kern w:val="0"/>
          <w14:ligatures w14:val="none"/>
        </w:rPr>
        <w:footnoteReference w:id="19"/>
      </w:r>
    </w:p>
    <w:p w14:paraId="592A3A2F" w14:textId="5F658FE6" w:rsidR="003E0795" w:rsidRPr="00F36B06" w:rsidRDefault="003534E3"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Katras konkrētās situācijas izvērtēšana un attiecīgo tiesisko līdzekļu izvēle ir administratora ekskluzīvā kompetencē, lai atbilstoši Maksātnespējas likuma regulējumam nodrošinātu efektīvu un likumīgu maksātnespējas procesa norisi un mērķu sasniegšanu.</w:t>
      </w:r>
      <w:r w:rsidR="001231AB" w:rsidRPr="00F36B06">
        <w:rPr>
          <w:rFonts w:ascii="Times New Roman" w:eastAsia="Times New Roman" w:hAnsi="Times New Roman" w:cs="Times New Roman"/>
          <w:kern w:val="0"/>
          <w14:ligatures w14:val="none"/>
        </w:rPr>
        <w:t xml:space="preserve"> Administratoram, vadot maksātnespējas procesu, ir jāievēro Maksātnespējas likuma 6. pantā noteiktie principi, tostarp procesa efektivitātes un apgrozības ātruma princips, kas noteic, ka maksātnespējas ietvaros piemērojami tādi pasākumi, kas ļauj ar vismazāko resursu patēriņu vispilnīgāk sasniegt procesa mērķi (segt kreditoru prasījumus), uzturot </w:t>
      </w:r>
      <w:proofErr w:type="spellStart"/>
      <w:r w:rsidR="001231AB" w:rsidRPr="00F36B06">
        <w:rPr>
          <w:rFonts w:ascii="Times New Roman" w:eastAsia="Times New Roman" w:hAnsi="Times New Roman" w:cs="Times New Roman"/>
          <w:kern w:val="0"/>
          <w14:ligatures w14:val="none"/>
        </w:rPr>
        <w:t>komerctiesiskās</w:t>
      </w:r>
      <w:proofErr w:type="spellEnd"/>
      <w:r w:rsidR="001231AB" w:rsidRPr="00F36B06">
        <w:rPr>
          <w:rFonts w:ascii="Times New Roman" w:eastAsia="Times New Roman" w:hAnsi="Times New Roman" w:cs="Times New Roman"/>
          <w:kern w:val="0"/>
          <w14:ligatures w14:val="none"/>
        </w:rPr>
        <w:t xml:space="preserve"> apgrozības ātrumu.</w:t>
      </w:r>
    </w:p>
    <w:p w14:paraId="29064E53" w14:textId="39B1344A" w:rsidR="00D21E6B" w:rsidRPr="00F36B06" w:rsidRDefault="00064B50" w:rsidP="003A09D5">
      <w:pPr>
        <w:spacing w:after="0" w:line="240" w:lineRule="auto"/>
        <w:ind w:firstLine="720"/>
        <w:jc w:val="both"/>
        <w:rPr>
          <w:rFonts w:ascii="Times New Roman" w:hAnsi="Times New Roman" w:cs="Times New Roman"/>
        </w:rPr>
      </w:pPr>
      <w:r w:rsidRPr="00F36B06">
        <w:rPr>
          <w:rFonts w:ascii="Times New Roman" w:hAnsi="Times New Roman" w:cs="Times New Roman"/>
        </w:rPr>
        <w:lastRenderedPageBreak/>
        <w:t>Pētījuma veiktās analīzes rezultātā secināt</w:t>
      </w:r>
      <w:r w:rsidR="00515BA6" w:rsidRPr="00F36B06">
        <w:rPr>
          <w:rFonts w:ascii="Times New Roman" w:hAnsi="Times New Roman" w:cs="Times New Roman"/>
        </w:rPr>
        <w:t xml:space="preserve">s, ka </w:t>
      </w:r>
      <w:r w:rsidR="0003522A" w:rsidRPr="00F36B06">
        <w:rPr>
          <w:rFonts w:ascii="Times New Roman" w:hAnsi="Times New Roman" w:cs="Times New Roman"/>
        </w:rPr>
        <w:t>74</w:t>
      </w:r>
      <w:r w:rsidR="00862516" w:rsidRPr="00F36B06">
        <w:rPr>
          <w:rFonts w:ascii="Times New Roman" w:hAnsi="Times New Roman" w:cs="Times New Roman"/>
        </w:rPr>
        <w:t> </w:t>
      </w:r>
      <w:r w:rsidR="0054204B" w:rsidRPr="00F36B06">
        <w:rPr>
          <w:rFonts w:ascii="Times New Roman" w:hAnsi="Times New Roman" w:cs="Times New Roman"/>
        </w:rPr>
        <w:t xml:space="preserve"> </w:t>
      </w:r>
      <w:r w:rsidR="0003522A" w:rsidRPr="00F36B06">
        <w:rPr>
          <w:rFonts w:ascii="Times New Roman" w:hAnsi="Times New Roman" w:cs="Times New Roman"/>
        </w:rPr>
        <w:t xml:space="preserve">maksātnespējas procesos </w:t>
      </w:r>
      <w:r w:rsidR="00AA0EEE" w:rsidRPr="00F36B06">
        <w:rPr>
          <w:rFonts w:ascii="Times New Roman" w:hAnsi="Times New Roman" w:cs="Times New Roman"/>
        </w:rPr>
        <w:t>(</w:t>
      </w:r>
      <w:r w:rsidR="00973662">
        <w:rPr>
          <w:rFonts w:ascii="Times New Roman" w:hAnsi="Times New Roman" w:cs="Times New Roman"/>
        </w:rPr>
        <w:t>t. i.</w:t>
      </w:r>
      <w:r w:rsidR="00AA0EEE" w:rsidRPr="00F36B06">
        <w:rPr>
          <w:rFonts w:ascii="Times New Roman" w:hAnsi="Times New Roman" w:cs="Times New Roman"/>
        </w:rPr>
        <w:t>, 31</w:t>
      </w:r>
      <w:r w:rsidR="009A23ED">
        <w:rPr>
          <w:rFonts w:ascii="Times New Roman" w:hAnsi="Times New Roman" w:cs="Times New Roman"/>
        </w:rPr>
        <w:t> </w:t>
      </w:r>
      <w:r w:rsidR="00AA0EEE" w:rsidRPr="00F36B06">
        <w:rPr>
          <w:rFonts w:ascii="Times New Roman" w:hAnsi="Times New Roman" w:cs="Times New Roman"/>
        </w:rPr>
        <w:t xml:space="preserve">% no kopējā pētījuma ietvaros analizētā maksātnespējas procesu skaita) </w:t>
      </w:r>
      <w:r w:rsidR="009065C4" w:rsidRPr="00F36B06">
        <w:rPr>
          <w:rFonts w:ascii="Times New Roman" w:hAnsi="Times New Roman" w:cs="Times New Roman"/>
        </w:rPr>
        <w:t>administrator</w:t>
      </w:r>
      <w:r w:rsidR="00F52BE3" w:rsidRPr="00F36B06">
        <w:rPr>
          <w:rFonts w:ascii="Times New Roman" w:hAnsi="Times New Roman" w:cs="Times New Roman"/>
        </w:rPr>
        <w:t>i</w:t>
      </w:r>
      <w:bookmarkStart w:id="3" w:name="_Hlk187517316"/>
      <w:r w:rsidR="0054204B" w:rsidRPr="00F36B06">
        <w:rPr>
          <w:rFonts w:ascii="Times New Roman" w:hAnsi="Times New Roman" w:cs="Times New Roman"/>
        </w:rPr>
        <w:t xml:space="preserve"> </w:t>
      </w:r>
      <w:bookmarkEnd w:id="3"/>
      <w:r w:rsidR="0004296E" w:rsidRPr="00F36B06">
        <w:rPr>
          <w:rFonts w:ascii="Times New Roman" w:hAnsi="Times New Roman" w:cs="Times New Roman"/>
        </w:rPr>
        <w:t>bija vērsušies tiesā</w:t>
      </w:r>
      <w:r w:rsidR="00F33760" w:rsidRPr="00F36B06">
        <w:rPr>
          <w:rFonts w:ascii="Times New Roman" w:hAnsi="Times New Roman" w:cs="Times New Roman"/>
        </w:rPr>
        <w:t>, konstatējot atbilstošu pamatu prasības celšanai</w:t>
      </w:r>
      <w:r w:rsidR="005A2924" w:rsidRPr="00F36B06">
        <w:rPr>
          <w:rFonts w:ascii="Times New Roman" w:hAnsi="Times New Roman" w:cs="Times New Roman"/>
        </w:rPr>
        <w:t xml:space="preserve"> (</w:t>
      </w:r>
      <w:r w:rsidR="00C51365">
        <w:rPr>
          <w:rFonts w:ascii="Times New Roman" w:hAnsi="Times New Roman" w:cs="Times New Roman"/>
        </w:rPr>
        <w:t>2</w:t>
      </w:r>
      <w:r w:rsidR="00B3477A" w:rsidRPr="00F36B06">
        <w:rPr>
          <w:rFonts w:ascii="Times New Roman" w:hAnsi="Times New Roman" w:cs="Times New Roman"/>
        </w:rPr>
        <w:t>. </w:t>
      </w:r>
      <w:r w:rsidR="005A2924" w:rsidRPr="00F36B06">
        <w:rPr>
          <w:rFonts w:ascii="Times New Roman" w:hAnsi="Times New Roman" w:cs="Times New Roman"/>
        </w:rPr>
        <w:t>attēl</w:t>
      </w:r>
      <w:r w:rsidR="00B3477A" w:rsidRPr="00F36B06">
        <w:rPr>
          <w:rFonts w:ascii="Times New Roman" w:hAnsi="Times New Roman" w:cs="Times New Roman"/>
        </w:rPr>
        <w:t>s</w:t>
      </w:r>
      <w:r w:rsidR="005A2924" w:rsidRPr="00F36B06">
        <w:rPr>
          <w:rFonts w:ascii="Times New Roman" w:hAnsi="Times New Roman" w:cs="Times New Roman"/>
        </w:rPr>
        <w:t>)</w:t>
      </w:r>
      <w:r w:rsidR="00E50BEB" w:rsidRPr="00F36B06">
        <w:rPr>
          <w:rFonts w:ascii="Times New Roman" w:hAnsi="Times New Roman" w:cs="Times New Roman"/>
        </w:rPr>
        <w:t>.</w:t>
      </w:r>
    </w:p>
    <w:p w14:paraId="7DBFBBF8" w14:textId="77777777" w:rsidR="00D04BE5" w:rsidRPr="00F36B06" w:rsidRDefault="00D04BE5" w:rsidP="003A09D5">
      <w:pPr>
        <w:spacing w:after="0" w:line="240" w:lineRule="auto"/>
        <w:ind w:firstLine="720"/>
        <w:jc w:val="both"/>
        <w:rPr>
          <w:rFonts w:ascii="Times New Roman" w:hAnsi="Times New Roman" w:cs="Times New Roman"/>
        </w:rPr>
      </w:pPr>
    </w:p>
    <w:p w14:paraId="04368241" w14:textId="2DA101AC" w:rsidR="005A2924" w:rsidRPr="00F36B06" w:rsidRDefault="00225F11" w:rsidP="003C5C63">
      <w:pPr>
        <w:spacing w:after="0" w:line="240" w:lineRule="auto"/>
        <w:ind w:firstLine="720"/>
        <w:jc w:val="right"/>
        <w:rPr>
          <w:rFonts w:ascii="Times New Roman" w:hAnsi="Times New Roman" w:cs="Times New Roman"/>
          <w:i/>
          <w:iCs/>
        </w:rPr>
      </w:pPr>
      <w:r>
        <w:rPr>
          <w:rFonts w:ascii="Times New Roman" w:hAnsi="Times New Roman" w:cs="Times New Roman"/>
          <w:i/>
          <w:iCs/>
        </w:rPr>
        <w:t>2</w:t>
      </w:r>
      <w:r w:rsidR="00817D08" w:rsidRPr="00F36B06">
        <w:rPr>
          <w:rFonts w:ascii="Times New Roman" w:hAnsi="Times New Roman" w:cs="Times New Roman"/>
          <w:i/>
          <w:iCs/>
        </w:rPr>
        <w:t>.</w:t>
      </w:r>
      <w:r w:rsidR="005C577B" w:rsidRPr="00F36B06">
        <w:rPr>
          <w:rFonts w:ascii="Times New Roman" w:hAnsi="Times New Roman" w:cs="Times New Roman"/>
          <w:i/>
          <w:iCs/>
        </w:rPr>
        <w:t> </w:t>
      </w:r>
      <w:r w:rsidR="00817D08" w:rsidRPr="00F36B06">
        <w:rPr>
          <w:rFonts w:ascii="Times New Roman" w:hAnsi="Times New Roman" w:cs="Times New Roman"/>
          <w:i/>
          <w:iCs/>
        </w:rPr>
        <w:t>a</w:t>
      </w:r>
      <w:r w:rsidR="003C5C63" w:rsidRPr="00F36B06">
        <w:rPr>
          <w:rFonts w:ascii="Times New Roman" w:hAnsi="Times New Roman" w:cs="Times New Roman"/>
          <w:i/>
          <w:iCs/>
        </w:rPr>
        <w:t>ttēls</w:t>
      </w:r>
    </w:p>
    <w:p w14:paraId="52E2F1AE" w14:textId="02F71EDF" w:rsidR="0048230A" w:rsidRPr="00F36B06" w:rsidRDefault="0048230A" w:rsidP="00414E57">
      <w:pPr>
        <w:spacing w:after="0" w:line="240" w:lineRule="auto"/>
        <w:jc w:val="center"/>
        <w:rPr>
          <w:rFonts w:ascii="Times New Roman" w:hAnsi="Times New Roman" w:cs="Times New Roman"/>
          <w:b/>
          <w:bCs/>
        </w:rPr>
      </w:pPr>
      <w:r w:rsidRPr="00F36B06">
        <w:rPr>
          <w:rFonts w:ascii="Times New Roman" w:hAnsi="Times New Roman" w:cs="Times New Roman"/>
          <w:b/>
          <w:bCs/>
        </w:rPr>
        <w:t xml:space="preserve">Procesu īpatsvars, kuros administratori </w:t>
      </w:r>
      <w:r w:rsidR="00F33760" w:rsidRPr="00F36B06">
        <w:rPr>
          <w:rFonts w:ascii="Times New Roman" w:hAnsi="Times New Roman" w:cs="Times New Roman"/>
          <w:b/>
          <w:bCs/>
        </w:rPr>
        <w:t>bija</w:t>
      </w:r>
      <w:r w:rsidR="004C33F3" w:rsidRPr="00F36B06">
        <w:rPr>
          <w:rFonts w:ascii="Times New Roman" w:hAnsi="Times New Roman" w:cs="Times New Roman"/>
          <w:b/>
          <w:bCs/>
        </w:rPr>
        <w:t xml:space="preserve"> vērsusies tiesā</w:t>
      </w:r>
      <w:r w:rsidR="003E4B03" w:rsidRPr="00F36B06">
        <w:rPr>
          <w:rFonts w:ascii="Times New Roman" w:hAnsi="Times New Roman" w:cs="Times New Roman"/>
          <w:b/>
          <w:bCs/>
        </w:rPr>
        <w:t xml:space="preserve"> </w:t>
      </w:r>
      <w:r w:rsidR="00B83F7F" w:rsidRPr="00F36B06">
        <w:rPr>
          <w:rFonts w:ascii="Times New Roman" w:hAnsi="Times New Roman" w:cs="Times New Roman"/>
          <w:b/>
          <w:bCs/>
        </w:rPr>
        <w:t>parādnieka mantas atgūšanai</w:t>
      </w:r>
    </w:p>
    <w:p w14:paraId="444F5DDD" w14:textId="77777777" w:rsidR="000B5073" w:rsidRPr="00F36B06" w:rsidRDefault="000B5073" w:rsidP="00414E57">
      <w:pPr>
        <w:spacing w:after="0" w:line="240" w:lineRule="auto"/>
        <w:jc w:val="center"/>
        <w:rPr>
          <w:rFonts w:ascii="Times New Roman" w:hAnsi="Times New Roman" w:cs="Times New Roman"/>
          <w:b/>
          <w:bCs/>
        </w:rPr>
      </w:pPr>
    </w:p>
    <w:p w14:paraId="0A43CC50" w14:textId="70F7C6A5" w:rsidR="000B5073" w:rsidRPr="00F36B06" w:rsidRDefault="000B5073" w:rsidP="00414E57">
      <w:pPr>
        <w:spacing w:after="0" w:line="240" w:lineRule="auto"/>
        <w:jc w:val="center"/>
        <w:rPr>
          <w:rFonts w:ascii="Times New Roman" w:hAnsi="Times New Roman" w:cs="Times New Roman"/>
          <w:b/>
          <w:bCs/>
        </w:rPr>
      </w:pPr>
      <w:r w:rsidRPr="00F36B06">
        <w:rPr>
          <w:rFonts w:ascii="Times New Roman" w:hAnsi="Times New Roman" w:cs="Times New Roman"/>
          <w:b/>
          <w:bCs/>
          <w:noProof/>
        </w:rPr>
        <w:drawing>
          <wp:inline distT="0" distB="0" distL="0" distR="0" wp14:anchorId="6C8C9D94" wp14:editId="5D4F4D1C">
            <wp:extent cx="4914900" cy="1714500"/>
            <wp:effectExtent l="0" t="0" r="0" b="0"/>
            <wp:docPr id="92298326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0E0086" w14:textId="1E7F207E" w:rsidR="004C33F3" w:rsidRPr="00F36B06" w:rsidRDefault="004C33F3" w:rsidP="003A09D5">
      <w:pPr>
        <w:spacing w:after="0" w:line="240" w:lineRule="auto"/>
        <w:ind w:firstLine="720"/>
        <w:jc w:val="both"/>
        <w:rPr>
          <w:rFonts w:ascii="Times New Roman" w:hAnsi="Times New Roman" w:cs="Times New Roman"/>
        </w:rPr>
      </w:pPr>
    </w:p>
    <w:p w14:paraId="29543330" w14:textId="46DD6384" w:rsidR="0005647C" w:rsidRPr="00F36B06" w:rsidRDefault="00AA0EEE" w:rsidP="003A09D5">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Kopumā </w:t>
      </w:r>
      <w:r w:rsidR="00CE7AEF" w:rsidRPr="00F36B06">
        <w:rPr>
          <w:rFonts w:ascii="Times New Roman" w:hAnsi="Times New Roman" w:cs="Times New Roman"/>
        </w:rPr>
        <w:t>minētajos 74 maksātnespējas procesos administrator</w:t>
      </w:r>
      <w:r w:rsidR="00305633">
        <w:rPr>
          <w:rFonts w:ascii="Times New Roman" w:hAnsi="Times New Roman" w:cs="Times New Roman"/>
        </w:rPr>
        <w:t>i</w:t>
      </w:r>
      <w:r w:rsidR="00CE7AEF" w:rsidRPr="00F36B06">
        <w:rPr>
          <w:rFonts w:ascii="Times New Roman" w:hAnsi="Times New Roman" w:cs="Times New Roman"/>
        </w:rPr>
        <w:t xml:space="preserve"> </w:t>
      </w:r>
      <w:r w:rsidRPr="00F36B06">
        <w:rPr>
          <w:rFonts w:ascii="Times New Roman" w:hAnsi="Times New Roman" w:cs="Times New Roman"/>
        </w:rPr>
        <w:t>bija cēluši 81 prasību parādnieka mantas atgūšanai</w:t>
      </w:r>
      <w:r w:rsidR="001C2CDF">
        <w:rPr>
          <w:rFonts w:ascii="Times New Roman" w:hAnsi="Times New Roman" w:cs="Times New Roman"/>
        </w:rPr>
        <w:t xml:space="preserve"> -</w:t>
      </w:r>
      <w:r w:rsidR="008F4EAB" w:rsidRPr="00F36B06">
        <w:rPr>
          <w:rFonts w:ascii="Times New Roman" w:hAnsi="Times New Roman" w:cs="Times New Roman"/>
        </w:rPr>
        <w:t> </w:t>
      </w:r>
      <w:r w:rsidR="002F0300" w:rsidRPr="00F36B06">
        <w:rPr>
          <w:rFonts w:ascii="Times New Roman" w:hAnsi="Times New Roman" w:cs="Times New Roman"/>
        </w:rPr>
        <w:t>celt</w:t>
      </w:r>
      <w:r w:rsidR="00FB2AA8" w:rsidRPr="00F36B06">
        <w:rPr>
          <w:rFonts w:ascii="Times New Roman" w:hAnsi="Times New Roman" w:cs="Times New Roman"/>
        </w:rPr>
        <w:t>o</w:t>
      </w:r>
      <w:r w:rsidR="002F0300" w:rsidRPr="00F36B06">
        <w:rPr>
          <w:rFonts w:ascii="Times New Roman" w:hAnsi="Times New Roman" w:cs="Times New Roman"/>
        </w:rPr>
        <w:t xml:space="preserve"> </w:t>
      </w:r>
      <w:r w:rsidR="008F4EAB" w:rsidRPr="00F36B06">
        <w:rPr>
          <w:rFonts w:ascii="Times New Roman" w:hAnsi="Times New Roman" w:cs="Times New Roman"/>
        </w:rPr>
        <w:t>prasīb</w:t>
      </w:r>
      <w:r w:rsidR="00FB2AA8" w:rsidRPr="00F36B06">
        <w:rPr>
          <w:rFonts w:ascii="Times New Roman" w:hAnsi="Times New Roman" w:cs="Times New Roman"/>
        </w:rPr>
        <w:t>u</w:t>
      </w:r>
      <w:r w:rsidR="008F4EAB" w:rsidRPr="00F36B06">
        <w:rPr>
          <w:rFonts w:ascii="Times New Roman" w:hAnsi="Times New Roman" w:cs="Times New Roman"/>
        </w:rPr>
        <w:t xml:space="preserve"> </w:t>
      </w:r>
      <w:r w:rsidR="00FB2AA8" w:rsidRPr="00F36B06">
        <w:rPr>
          <w:rFonts w:ascii="Times New Roman" w:hAnsi="Times New Roman" w:cs="Times New Roman"/>
        </w:rPr>
        <w:t>sastāvs ir šāds</w:t>
      </w:r>
      <w:r w:rsidR="00827D1F" w:rsidRPr="00F36B06">
        <w:rPr>
          <w:rFonts w:ascii="Times New Roman" w:hAnsi="Times New Roman" w:cs="Times New Roman"/>
        </w:rPr>
        <w:t xml:space="preserve"> (</w:t>
      </w:r>
      <w:r w:rsidR="00D9096C">
        <w:rPr>
          <w:rFonts w:ascii="Times New Roman" w:hAnsi="Times New Roman" w:cs="Times New Roman"/>
        </w:rPr>
        <w:t>3</w:t>
      </w:r>
      <w:r w:rsidR="0071139B" w:rsidRPr="00F36B06">
        <w:rPr>
          <w:rFonts w:ascii="Times New Roman" w:hAnsi="Times New Roman" w:cs="Times New Roman"/>
        </w:rPr>
        <w:t>. </w:t>
      </w:r>
      <w:r w:rsidR="00827D1F" w:rsidRPr="00F36B06">
        <w:rPr>
          <w:rFonts w:ascii="Times New Roman" w:hAnsi="Times New Roman" w:cs="Times New Roman"/>
        </w:rPr>
        <w:t>attēls)</w:t>
      </w:r>
      <w:r w:rsidR="000F4505" w:rsidRPr="00F36B06">
        <w:rPr>
          <w:rFonts w:ascii="Times New Roman" w:hAnsi="Times New Roman" w:cs="Times New Roman"/>
        </w:rPr>
        <w:t>:</w:t>
      </w:r>
    </w:p>
    <w:p w14:paraId="32E5BD2E" w14:textId="203B2744" w:rsidR="0067310D" w:rsidRPr="00F36B06" w:rsidRDefault="00226FC8" w:rsidP="0067310D">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1) </w:t>
      </w:r>
      <w:r w:rsidR="00DF061D" w:rsidRPr="00F36B06">
        <w:rPr>
          <w:rFonts w:ascii="Times New Roman" w:hAnsi="Times New Roman" w:cs="Times New Roman"/>
        </w:rPr>
        <w:t>34 </w:t>
      </w:r>
      <w:r w:rsidR="0067310D" w:rsidRPr="00F36B06">
        <w:rPr>
          <w:rFonts w:ascii="Times New Roman" w:hAnsi="Times New Roman" w:cs="Times New Roman"/>
        </w:rPr>
        <w:t>prasības pret valdi vai citu personu par zaudējumu nodarīšanu parādniekam, pamatojoties uz Civillikuma tiesību normām par zaudējumu atlīdzināšanu, Komerclikuma 169. pantu, Maksātnespējas likuma 65. panta 9. punktu utt.</w:t>
      </w:r>
      <w:r w:rsidR="00245BCD" w:rsidRPr="00F36B06">
        <w:rPr>
          <w:rFonts w:ascii="Times New Roman" w:hAnsi="Times New Roman" w:cs="Times New Roman"/>
        </w:rPr>
        <w:t>;</w:t>
      </w:r>
    </w:p>
    <w:p w14:paraId="31ECB92B" w14:textId="498D4FC8" w:rsidR="0067310D" w:rsidRPr="00F36B06" w:rsidRDefault="00226FC8" w:rsidP="0067310D">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2) </w:t>
      </w:r>
      <w:r w:rsidR="00DF061D" w:rsidRPr="00F36B06">
        <w:rPr>
          <w:rFonts w:ascii="Times New Roman" w:hAnsi="Times New Roman" w:cs="Times New Roman"/>
        </w:rPr>
        <w:t>35 </w:t>
      </w:r>
      <w:r w:rsidR="0067310D" w:rsidRPr="00F36B06">
        <w:rPr>
          <w:rFonts w:ascii="Times New Roman" w:hAnsi="Times New Roman" w:cs="Times New Roman"/>
        </w:rPr>
        <w:t>prasības pret valdi, pamatojoties uz Maksātnespējas likuma 72.</w:t>
      </w:r>
      <w:r w:rsidR="0067310D" w:rsidRPr="00F36B06">
        <w:rPr>
          <w:rFonts w:ascii="Times New Roman" w:hAnsi="Times New Roman" w:cs="Times New Roman"/>
          <w:vertAlign w:val="superscript"/>
        </w:rPr>
        <w:t>1</w:t>
      </w:r>
      <w:r w:rsidR="0067310D" w:rsidRPr="00F36B06">
        <w:rPr>
          <w:rFonts w:ascii="Times New Roman" w:hAnsi="Times New Roman" w:cs="Times New Roman"/>
        </w:rPr>
        <w:t> pantu par dokumentu nenodošanu;</w:t>
      </w:r>
    </w:p>
    <w:p w14:paraId="3579AF21" w14:textId="4D3A8126" w:rsidR="00E650D5" w:rsidRDefault="00301012" w:rsidP="00301012">
      <w:pPr>
        <w:spacing w:after="0" w:line="240" w:lineRule="auto"/>
        <w:ind w:firstLine="720"/>
        <w:jc w:val="both"/>
        <w:rPr>
          <w:rFonts w:ascii="Times New Roman" w:hAnsi="Times New Roman" w:cs="Times New Roman"/>
        </w:rPr>
      </w:pPr>
      <w:r w:rsidRPr="00F36B06">
        <w:rPr>
          <w:rFonts w:ascii="Times New Roman" w:hAnsi="Times New Roman" w:cs="Times New Roman"/>
        </w:rPr>
        <w:t>3) </w:t>
      </w:r>
      <w:r w:rsidR="00DF061D" w:rsidRPr="00F36B06">
        <w:rPr>
          <w:rFonts w:ascii="Times New Roman" w:hAnsi="Times New Roman" w:cs="Times New Roman"/>
        </w:rPr>
        <w:t>12 </w:t>
      </w:r>
      <w:r w:rsidR="00F64507" w:rsidRPr="00F36B06">
        <w:rPr>
          <w:rFonts w:ascii="Times New Roman" w:hAnsi="Times New Roman" w:cs="Times New Roman"/>
        </w:rPr>
        <w:t xml:space="preserve">prasības par darījumu apstrīdēšanu, pamatojoties uz </w:t>
      </w:r>
      <w:r w:rsidR="00153977" w:rsidRPr="00F36B06">
        <w:rPr>
          <w:rFonts w:ascii="Times New Roman" w:hAnsi="Times New Roman" w:cs="Times New Roman"/>
        </w:rPr>
        <w:t>Maksātnespējas likuma XVII nodaļu</w:t>
      </w:r>
      <w:r w:rsidR="00E111AC" w:rsidRPr="00F36B06">
        <w:rPr>
          <w:rFonts w:ascii="Times New Roman" w:hAnsi="Times New Roman" w:cs="Times New Roman"/>
        </w:rPr>
        <w:t>.</w:t>
      </w:r>
      <w:bookmarkStart w:id="4" w:name="_Hlk187527682"/>
    </w:p>
    <w:p w14:paraId="5811FD13" w14:textId="77777777" w:rsidR="00FA315B" w:rsidRPr="00F36B06" w:rsidRDefault="00FA315B" w:rsidP="00301012">
      <w:pPr>
        <w:spacing w:after="0" w:line="240" w:lineRule="auto"/>
        <w:ind w:firstLine="720"/>
        <w:jc w:val="both"/>
        <w:rPr>
          <w:rFonts w:ascii="Times New Roman" w:hAnsi="Times New Roman" w:cs="Times New Roman"/>
        </w:rPr>
      </w:pPr>
    </w:p>
    <w:p w14:paraId="7DFEF905" w14:textId="2272DD10" w:rsidR="00DB680E" w:rsidRPr="00F36B06" w:rsidRDefault="00225F11" w:rsidP="00DB680E">
      <w:pPr>
        <w:spacing w:after="0" w:line="240" w:lineRule="auto"/>
        <w:ind w:firstLine="720"/>
        <w:jc w:val="right"/>
        <w:rPr>
          <w:rFonts w:ascii="Times New Roman" w:hAnsi="Times New Roman" w:cs="Times New Roman"/>
          <w:i/>
          <w:iCs/>
        </w:rPr>
      </w:pPr>
      <w:r>
        <w:rPr>
          <w:rFonts w:ascii="Times New Roman" w:hAnsi="Times New Roman" w:cs="Times New Roman"/>
          <w:i/>
          <w:iCs/>
        </w:rPr>
        <w:t>3</w:t>
      </w:r>
      <w:r w:rsidR="002816C6" w:rsidRPr="00F36B06">
        <w:rPr>
          <w:rFonts w:ascii="Times New Roman" w:hAnsi="Times New Roman" w:cs="Times New Roman"/>
          <w:i/>
          <w:iCs/>
        </w:rPr>
        <w:t>. a</w:t>
      </w:r>
      <w:r w:rsidR="00DB680E" w:rsidRPr="00F36B06">
        <w:rPr>
          <w:rFonts w:ascii="Times New Roman" w:hAnsi="Times New Roman" w:cs="Times New Roman"/>
          <w:i/>
          <w:iCs/>
        </w:rPr>
        <w:t>ttēls</w:t>
      </w:r>
    </w:p>
    <w:p w14:paraId="2111B11E" w14:textId="5D53E048" w:rsidR="00DB680E" w:rsidRDefault="00DB680E" w:rsidP="008B7DF1">
      <w:pPr>
        <w:spacing w:after="0" w:line="240" w:lineRule="auto"/>
        <w:jc w:val="center"/>
        <w:rPr>
          <w:rFonts w:ascii="Times New Roman" w:hAnsi="Times New Roman" w:cs="Times New Roman"/>
          <w:b/>
          <w:bCs/>
        </w:rPr>
      </w:pPr>
      <w:bookmarkStart w:id="5" w:name="_Hlk187528275"/>
      <w:r w:rsidRPr="00F36B06">
        <w:rPr>
          <w:rFonts w:ascii="Times New Roman" w:hAnsi="Times New Roman" w:cs="Times New Roman"/>
          <w:b/>
          <w:bCs/>
        </w:rPr>
        <w:t>Administratoru celto prasību sadalījums pēc to veidiem</w:t>
      </w:r>
    </w:p>
    <w:p w14:paraId="0DEAB6AC" w14:textId="77777777" w:rsidR="002A55E8" w:rsidRPr="00F36B06" w:rsidRDefault="002A55E8" w:rsidP="008B7DF1">
      <w:pPr>
        <w:spacing w:after="0" w:line="240" w:lineRule="auto"/>
        <w:jc w:val="center"/>
        <w:rPr>
          <w:rFonts w:ascii="Times New Roman" w:hAnsi="Times New Roman" w:cs="Times New Roman"/>
          <w:b/>
          <w:bCs/>
        </w:rPr>
      </w:pPr>
    </w:p>
    <w:p w14:paraId="5E4DA2E3" w14:textId="50A8BA79" w:rsidR="00DB680E" w:rsidRPr="00F36B06" w:rsidRDefault="00BC2A3B" w:rsidP="00BC2A3B">
      <w:pPr>
        <w:spacing w:after="0" w:line="240" w:lineRule="auto"/>
        <w:jc w:val="center"/>
        <w:rPr>
          <w:rFonts w:ascii="Times New Roman" w:hAnsi="Times New Roman" w:cs="Times New Roman"/>
          <w:b/>
          <w:bCs/>
        </w:rPr>
      </w:pPr>
      <w:r w:rsidRPr="00F36B06">
        <w:rPr>
          <w:rFonts w:ascii="Times New Roman" w:hAnsi="Times New Roman" w:cs="Times New Roman"/>
          <w:b/>
          <w:bCs/>
          <w:noProof/>
        </w:rPr>
        <w:drawing>
          <wp:inline distT="0" distB="0" distL="0" distR="0" wp14:anchorId="740687A6" wp14:editId="0842E58E">
            <wp:extent cx="4937760" cy="2110740"/>
            <wp:effectExtent l="0" t="0" r="15240" b="3810"/>
            <wp:docPr id="1640909225"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4"/>
    <w:bookmarkEnd w:id="5"/>
    <w:p w14:paraId="3491C624" w14:textId="77777777" w:rsidR="00FA315B" w:rsidRDefault="00FA315B" w:rsidP="004D5206">
      <w:pPr>
        <w:pStyle w:val="ListParagraph"/>
        <w:spacing w:after="0" w:line="240" w:lineRule="auto"/>
        <w:ind w:left="0" w:firstLine="720"/>
        <w:jc w:val="both"/>
        <w:rPr>
          <w:rFonts w:ascii="Times New Roman" w:hAnsi="Times New Roman" w:cs="Times New Roman"/>
        </w:rPr>
      </w:pPr>
    </w:p>
    <w:p w14:paraId="445F53C9" w14:textId="77777777" w:rsidR="00FA315B" w:rsidRDefault="00FA315B" w:rsidP="004D5206">
      <w:pPr>
        <w:pStyle w:val="ListParagraph"/>
        <w:spacing w:after="0" w:line="240" w:lineRule="auto"/>
        <w:ind w:left="0" w:firstLine="720"/>
        <w:jc w:val="both"/>
        <w:rPr>
          <w:rFonts w:ascii="Times New Roman" w:hAnsi="Times New Roman" w:cs="Times New Roman"/>
        </w:rPr>
      </w:pPr>
    </w:p>
    <w:p w14:paraId="12129E82" w14:textId="17D29F14" w:rsidR="0005647C" w:rsidRPr="00F36B06" w:rsidRDefault="00FF083D" w:rsidP="004D5206">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Kopējā </w:t>
      </w:r>
      <w:r w:rsidR="00505661" w:rsidRPr="00F36B06">
        <w:rPr>
          <w:rFonts w:ascii="Times New Roman" w:hAnsi="Times New Roman" w:cs="Times New Roman"/>
        </w:rPr>
        <w:t xml:space="preserve">administratoru </w:t>
      </w:r>
      <w:r w:rsidR="00B33716" w:rsidRPr="00F36B06">
        <w:rPr>
          <w:rFonts w:ascii="Times New Roman" w:hAnsi="Times New Roman" w:cs="Times New Roman"/>
        </w:rPr>
        <w:t>celto prasību rezultātā</w:t>
      </w:r>
      <w:r w:rsidR="00A53748" w:rsidRPr="00F36B06">
        <w:rPr>
          <w:rFonts w:ascii="Times New Roman" w:hAnsi="Times New Roman" w:cs="Times New Roman"/>
        </w:rPr>
        <w:t xml:space="preserve"> </w:t>
      </w:r>
      <w:r w:rsidR="00505661" w:rsidRPr="00F36B06">
        <w:rPr>
          <w:rFonts w:ascii="Times New Roman" w:hAnsi="Times New Roman" w:cs="Times New Roman"/>
        </w:rPr>
        <w:t>parādnieku labā</w:t>
      </w:r>
      <w:r w:rsidR="00AA69C7" w:rsidRPr="00F36B06">
        <w:rPr>
          <w:rFonts w:ascii="Times New Roman" w:hAnsi="Times New Roman" w:cs="Times New Roman"/>
        </w:rPr>
        <w:t xml:space="preserve"> tiesas</w:t>
      </w:r>
      <w:r w:rsidR="00505661" w:rsidRPr="00F36B06">
        <w:rPr>
          <w:rFonts w:ascii="Times New Roman" w:hAnsi="Times New Roman" w:cs="Times New Roman"/>
        </w:rPr>
        <w:t xml:space="preserve"> </w:t>
      </w:r>
      <w:r w:rsidR="00B33716" w:rsidRPr="00F36B06">
        <w:rPr>
          <w:rFonts w:ascii="Times New Roman" w:hAnsi="Times New Roman" w:cs="Times New Roman"/>
        </w:rPr>
        <w:t xml:space="preserve">piespriestā </w:t>
      </w:r>
      <w:r w:rsidR="00505661" w:rsidRPr="00F36B06">
        <w:rPr>
          <w:rFonts w:ascii="Times New Roman" w:hAnsi="Times New Roman" w:cs="Times New Roman"/>
        </w:rPr>
        <w:t xml:space="preserve">summa </w:t>
      </w:r>
      <w:r w:rsidR="00DF061D" w:rsidRPr="00F36B06">
        <w:rPr>
          <w:rFonts w:ascii="Times New Roman" w:hAnsi="Times New Roman" w:cs="Times New Roman"/>
        </w:rPr>
        <w:t xml:space="preserve">ir </w:t>
      </w:r>
      <w:r w:rsidR="00216027" w:rsidRPr="00F36B06">
        <w:rPr>
          <w:rFonts w:ascii="Times New Roman" w:hAnsi="Times New Roman" w:cs="Times New Roman"/>
        </w:rPr>
        <w:t>14</w:t>
      </w:r>
      <w:r w:rsidR="00862516" w:rsidRPr="00F36B06">
        <w:rPr>
          <w:rFonts w:ascii="Times New Roman" w:hAnsi="Times New Roman" w:cs="Times New Roman"/>
        </w:rPr>
        <w:t> </w:t>
      </w:r>
      <w:r w:rsidR="00216027" w:rsidRPr="00F36B06">
        <w:rPr>
          <w:rFonts w:ascii="Times New Roman" w:hAnsi="Times New Roman" w:cs="Times New Roman"/>
        </w:rPr>
        <w:t>658</w:t>
      </w:r>
      <w:r w:rsidR="00862516" w:rsidRPr="00F36B06">
        <w:rPr>
          <w:rFonts w:ascii="Times New Roman" w:hAnsi="Times New Roman" w:cs="Times New Roman"/>
        </w:rPr>
        <w:t> </w:t>
      </w:r>
      <w:r w:rsidR="00216027" w:rsidRPr="00F36B06">
        <w:rPr>
          <w:rFonts w:ascii="Times New Roman" w:hAnsi="Times New Roman" w:cs="Times New Roman"/>
        </w:rPr>
        <w:t>46</w:t>
      </w:r>
      <w:r w:rsidR="00BC7489">
        <w:rPr>
          <w:rFonts w:ascii="Times New Roman" w:hAnsi="Times New Roman" w:cs="Times New Roman"/>
        </w:rPr>
        <w:t>1</w:t>
      </w:r>
      <w:r w:rsidR="00862516" w:rsidRPr="00F36B06">
        <w:rPr>
          <w:rFonts w:ascii="Times New Roman" w:hAnsi="Times New Roman" w:cs="Times New Roman"/>
        </w:rPr>
        <w:t> </w:t>
      </w:r>
      <w:proofErr w:type="spellStart"/>
      <w:r w:rsidR="00216027" w:rsidRPr="00F36B06">
        <w:rPr>
          <w:rFonts w:ascii="Times New Roman" w:hAnsi="Times New Roman" w:cs="Times New Roman"/>
          <w:i/>
          <w:iCs/>
        </w:rPr>
        <w:t>euro</w:t>
      </w:r>
      <w:proofErr w:type="spellEnd"/>
      <w:r w:rsidR="000B6A51" w:rsidRPr="00F36B06">
        <w:rPr>
          <w:rFonts w:ascii="Times New Roman" w:hAnsi="Times New Roman" w:cs="Times New Roman"/>
        </w:rPr>
        <w:t xml:space="preserve">. </w:t>
      </w:r>
      <w:r w:rsidR="00CD0E69" w:rsidRPr="00F36B06">
        <w:rPr>
          <w:rFonts w:ascii="Times New Roman" w:hAnsi="Times New Roman" w:cs="Times New Roman"/>
        </w:rPr>
        <w:t>K</w:t>
      </w:r>
      <w:r w:rsidR="00A46456" w:rsidRPr="00F36B06">
        <w:rPr>
          <w:rFonts w:ascii="Times New Roman" w:hAnsi="Times New Roman" w:cs="Times New Roman"/>
        </w:rPr>
        <w:t xml:space="preserve">onstatējot </w:t>
      </w:r>
      <w:r w:rsidR="00656E68" w:rsidRPr="00F36B06">
        <w:rPr>
          <w:rFonts w:ascii="Times New Roman" w:hAnsi="Times New Roman" w:cs="Times New Roman"/>
        </w:rPr>
        <w:t xml:space="preserve">piedziņas neiespējamību un </w:t>
      </w:r>
      <w:r w:rsidR="00887462" w:rsidRPr="00F36B06">
        <w:rPr>
          <w:rFonts w:ascii="Times New Roman" w:hAnsi="Times New Roman" w:cs="Times New Roman"/>
        </w:rPr>
        <w:t xml:space="preserve">neveicot </w:t>
      </w:r>
      <w:r w:rsidR="00CD0E69" w:rsidRPr="00F36B06">
        <w:rPr>
          <w:rFonts w:ascii="Times New Roman" w:hAnsi="Times New Roman" w:cs="Times New Roman"/>
        </w:rPr>
        <w:t>turpmākās</w:t>
      </w:r>
      <w:r w:rsidR="00887462" w:rsidRPr="00F36B06">
        <w:rPr>
          <w:rFonts w:ascii="Times New Roman" w:hAnsi="Times New Roman" w:cs="Times New Roman"/>
        </w:rPr>
        <w:t xml:space="preserve"> darbības</w:t>
      </w:r>
      <w:r w:rsidR="000B6A51" w:rsidRPr="00F36B06">
        <w:rPr>
          <w:rFonts w:ascii="Times New Roman" w:hAnsi="Times New Roman" w:cs="Times New Roman"/>
        </w:rPr>
        <w:t xml:space="preserve">, </w:t>
      </w:r>
      <w:r w:rsidR="00AD354A" w:rsidRPr="00F36B06">
        <w:rPr>
          <w:rFonts w:ascii="Times New Roman" w:hAnsi="Times New Roman" w:cs="Times New Roman"/>
        </w:rPr>
        <w:t>administrator</w:t>
      </w:r>
      <w:r w:rsidR="00687181" w:rsidRPr="00F36B06">
        <w:rPr>
          <w:rFonts w:ascii="Times New Roman" w:hAnsi="Times New Roman" w:cs="Times New Roman"/>
        </w:rPr>
        <w:t>i</w:t>
      </w:r>
      <w:r w:rsidR="00AD354A" w:rsidRPr="00F36B06">
        <w:rPr>
          <w:rFonts w:ascii="Times New Roman" w:hAnsi="Times New Roman" w:cs="Times New Roman"/>
        </w:rPr>
        <w:t xml:space="preserve"> </w:t>
      </w:r>
      <w:r w:rsidR="00687181" w:rsidRPr="00F36B06">
        <w:rPr>
          <w:rFonts w:ascii="Times New Roman" w:hAnsi="Times New Roman" w:cs="Times New Roman"/>
        </w:rPr>
        <w:t>divos gadījumos atteicās</w:t>
      </w:r>
      <w:r w:rsidR="00AA35DC" w:rsidRPr="00F36B06">
        <w:rPr>
          <w:rFonts w:ascii="Times New Roman" w:hAnsi="Times New Roman" w:cs="Times New Roman"/>
        </w:rPr>
        <w:t xml:space="preserve"> no</w:t>
      </w:r>
      <w:r w:rsidR="00DF061D" w:rsidRPr="00F36B06">
        <w:rPr>
          <w:rFonts w:ascii="Times New Roman" w:hAnsi="Times New Roman" w:cs="Times New Roman"/>
        </w:rPr>
        <w:t> </w:t>
      </w:r>
      <w:r w:rsidR="000B6A51" w:rsidRPr="00F36B06">
        <w:rPr>
          <w:rFonts w:ascii="Times New Roman" w:hAnsi="Times New Roman" w:cs="Times New Roman"/>
        </w:rPr>
        <w:t>prasīb</w:t>
      </w:r>
      <w:r w:rsidR="00BE6B19" w:rsidRPr="00F36B06">
        <w:rPr>
          <w:rFonts w:ascii="Times New Roman" w:hAnsi="Times New Roman" w:cs="Times New Roman"/>
        </w:rPr>
        <w:t>ām</w:t>
      </w:r>
      <w:r w:rsidR="000B6A51" w:rsidRPr="00F36B06">
        <w:rPr>
          <w:rFonts w:ascii="Times New Roman" w:hAnsi="Times New Roman" w:cs="Times New Roman"/>
        </w:rPr>
        <w:t xml:space="preserve"> </w:t>
      </w:r>
      <w:r w:rsidR="00AA35DC" w:rsidRPr="00F36B06">
        <w:rPr>
          <w:rFonts w:ascii="Times New Roman" w:hAnsi="Times New Roman" w:cs="Times New Roman"/>
        </w:rPr>
        <w:t xml:space="preserve">par kopējo sumu </w:t>
      </w:r>
      <w:r w:rsidR="000B6A51" w:rsidRPr="00F36B06">
        <w:rPr>
          <w:rFonts w:ascii="Times New Roman" w:hAnsi="Times New Roman" w:cs="Times New Roman"/>
        </w:rPr>
        <w:t>5 589 </w:t>
      </w:r>
      <w:proofErr w:type="spellStart"/>
      <w:r w:rsidR="000B6A51" w:rsidRPr="00F36B06">
        <w:rPr>
          <w:rFonts w:ascii="Times New Roman" w:hAnsi="Times New Roman" w:cs="Times New Roman"/>
          <w:i/>
          <w:iCs/>
        </w:rPr>
        <w:t>euro</w:t>
      </w:r>
      <w:proofErr w:type="spellEnd"/>
      <w:r w:rsidR="00AA35DC" w:rsidRPr="00F36B06">
        <w:rPr>
          <w:rFonts w:ascii="Times New Roman" w:hAnsi="Times New Roman" w:cs="Times New Roman"/>
        </w:rPr>
        <w:t>. Ievērojot minēto,</w:t>
      </w:r>
      <w:r w:rsidR="00E616F5" w:rsidRPr="00F36B06">
        <w:rPr>
          <w:rFonts w:ascii="Times New Roman" w:hAnsi="Times New Roman" w:cs="Times New Roman"/>
        </w:rPr>
        <w:t xml:space="preserve"> turpmāk pētījumā </w:t>
      </w:r>
      <w:r w:rsidR="00702517" w:rsidRPr="00F36B06">
        <w:rPr>
          <w:rFonts w:ascii="Times New Roman" w:hAnsi="Times New Roman" w:cs="Times New Roman"/>
        </w:rPr>
        <w:t>tiek veikt</w:t>
      </w:r>
      <w:r w:rsidR="00F42AC8" w:rsidRPr="00F36B06">
        <w:rPr>
          <w:rFonts w:ascii="Times New Roman" w:hAnsi="Times New Roman" w:cs="Times New Roman"/>
        </w:rPr>
        <w:t>s</w:t>
      </w:r>
      <w:r w:rsidR="009639BF" w:rsidRPr="00F36B06">
        <w:rPr>
          <w:rFonts w:ascii="Times New Roman" w:hAnsi="Times New Roman" w:cs="Times New Roman"/>
        </w:rPr>
        <w:t xml:space="preserve"> izvērtējums par </w:t>
      </w:r>
      <w:r w:rsidR="00692B1F" w:rsidRPr="00F36B06">
        <w:rPr>
          <w:rFonts w:ascii="Times New Roman" w:hAnsi="Times New Roman" w:cs="Times New Roman"/>
        </w:rPr>
        <w:t xml:space="preserve">to, cik lielā </w:t>
      </w:r>
      <w:r w:rsidR="00C65512" w:rsidRPr="00F36B06">
        <w:rPr>
          <w:rFonts w:ascii="Times New Roman" w:hAnsi="Times New Roman" w:cs="Times New Roman"/>
        </w:rPr>
        <w:t>ap</w:t>
      </w:r>
      <w:r w:rsidR="00692B1F" w:rsidRPr="00F36B06">
        <w:rPr>
          <w:rFonts w:ascii="Times New Roman" w:hAnsi="Times New Roman" w:cs="Times New Roman"/>
        </w:rPr>
        <w:t xml:space="preserve">mērā un kādā veidā </w:t>
      </w:r>
      <w:r w:rsidR="009F5E12" w:rsidRPr="00F36B06">
        <w:rPr>
          <w:rFonts w:ascii="Times New Roman" w:hAnsi="Times New Roman" w:cs="Times New Roman"/>
        </w:rPr>
        <w:t>administratori</w:t>
      </w:r>
      <w:r w:rsidR="0023498F" w:rsidRPr="00F36B06">
        <w:rPr>
          <w:rFonts w:ascii="Times New Roman" w:hAnsi="Times New Roman" w:cs="Times New Roman"/>
        </w:rPr>
        <w:t xml:space="preserve"> bija atguvuši </w:t>
      </w:r>
      <w:r w:rsidR="00EB0DBF" w:rsidRPr="00F36B06">
        <w:rPr>
          <w:rFonts w:ascii="Times New Roman" w:hAnsi="Times New Roman" w:cs="Times New Roman"/>
        </w:rPr>
        <w:t>tiesas piespriesto summu atlikušajos</w:t>
      </w:r>
      <w:r w:rsidR="005312B1" w:rsidRPr="00F36B06">
        <w:rPr>
          <w:rFonts w:ascii="Times New Roman" w:hAnsi="Times New Roman" w:cs="Times New Roman"/>
        </w:rPr>
        <w:t xml:space="preserve"> 79 </w:t>
      </w:r>
      <w:r w:rsidR="00993E42" w:rsidRPr="00F36B06">
        <w:rPr>
          <w:rFonts w:ascii="Times New Roman" w:hAnsi="Times New Roman" w:cs="Times New Roman"/>
        </w:rPr>
        <w:t>gadījum</w:t>
      </w:r>
      <w:r w:rsidR="00EB0DBF" w:rsidRPr="00F36B06">
        <w:rPr>
          <w:rFonts w:ascii="Times New Roman" w:hAnsi="Times New Roman" w:cs="Times New Roman"/>
        </w:rPr>
        <w:t>os</w:t>
      </w:r>
      <w:r w:rsidR="009735FB" w:rsidRPr="00F36B06">
        <w:rPr>
          <w:rFonts w:ascii="Times New Roman" w:hAnsi="Times New Roman" w:cs="Times New Roman"/>
        </w:rPr>
        <w:t>. K</w:t>
      </w:r>
      <w:r w:rsidR="00EF74FB" w:rsidRPr="00F36B06">
        <w:rPr>
          <w:rFonts w:ascii="Times New Roman" w:hAnsi="Times New Roman" w:cs="Times New Roman"/>
        </w:rPr>
        <w:t xml:space="preserve">opumā </w:t>
      </w:r>
      <w:r w:rsidR="0061014B" w:rsidRPr="00F36B06">
        <w:rPr>
          <w:rFonts w:ascii="Times New Roman" w:hAnsi="Times New Roman" w:cs="Times New Roman"/>
        </w:rPr>
        <w:t xml:space="preserve">šo </w:t>
      </w:r>
      <w:r w:rsidR="009735FB" w:rsidRPr="00F36B06">
        <w:rPr>
          <w:rFonts w:ascii="Times New Roman" w:hAnsi="Times New Roman" w:cs="Times New Roman"/>
        </w:rPr>
        <w:t>79 prasīb</w:t>
      </w:r>
      <w:r w:rsidR="0061014B" w:rsidRPr="00F36B06">
        <w:rPr>
          <w:rFonts w:ascii="Times New Roman" w:hAnsi="Times New Roman" w:cs="Times New Roman"/>
        </w:rPr>
        <w:t xml:space="preserve">u celšanas un </w:t>
      </w:r>
      <w:r w:rsidR="00BE13D6" w:rsidRPr="00F36B06">
        <w:rPr>
          <w:rFonts w:ascii="Times New Roman" w:hAnsi="Times New Roman" w:cs="Times New Roman"/>
        </w:rPr>
        <w:t>izpildes rezultātā</w:t>
      </w:r>
      <w:r w:rsidR="009735FB" w:rsidRPr="00F36B06">
        <w:rPr>
          <w:rFonts w:ascii="Times New Roman" w:hAnsi="Times New Roman" w:cs="Times New Roman"/>
        </w:rPr>
        <w:t xml:space="preserve"> </w:t>
      </w:r>
      <w:r w:rsidR="004D5206" w:rsidRPr="00F36B06">
        <w:rPr>
          <w:rFonts w:ascii="Times New Roman" w:hAnsi="Times New Roman" w:cs="Times New Roman"/>
        </w:rPr>
        <w:t xml:space="preserve">ir </w:t>
      </w:r>
      <w:r w:rsidR="00151F58" w:rsidRPr="00F36B06">
        <w:rPr>
          <w:rFonts w:ascii="Times New Roman" w:hAnsi="Times New Roman" w:cs="Times New Roman"/>
        </w:rPr>
        <w:t>atgūt</w:t>
      </w:r>
      <w:r w:rsidR="00C20346">
        <w:rPr>
          <w:rFonts w:ascii="Times New Roman" w:hAnsi="Times New Roman" w:cs="Times New Roman"/>
        </w:rPr>
        <w:t>s</w:t>
      </w:r>
      <w:r w:rsidR="00216027" w:rsidRPr="00F36B06">
        <w:rPr>
          <w:rFonts w:ascii="Times New Roman" w:hAnsi="Times New Roman" w:cs="Times New Roman"/>
        </w:rPr>
        <w:t xml:space="preserve"> </w:t>
      </w:r>
      <w:bookmarkStart w:id="6" w:name="_Hlk186925477"/>
      <w:r w:rsidR="00216027" w:rsidRPr="00F36B06">
        <w:rPr>
          <w:rFonts w:ascii="Times New Roman" w:hAnsi="Times New Roman" w:cs="Times New Roman"/>
        </w:rPr>
        <w:t>946</w:t>
      </w:r>
      <w:r w:rsidR="00862516" w:rsidRPr="00F36B06">
        <w:rPr>
          <w:rFonts w:ascii="Times New Roman" w:hAnsi="Times New Roman" w:cs="Times New Roman"/>
        </w:rPr>
        <w:t> </w:t>
      </w:r>
      <w:r w:rsidR="00216027" w:rsidRPr="00F36B06">
        <w:rPr>
          <w:rFonts w:ascii="Times New Roman" w:hAnsi="Times New Roman" w:cs="Times New Roman"/>
        </w:rPr>
        <w:t>80</w:t>
      </w:r>
      <w:r w:rsidR="00BC7489">
        <w:rPr>
          <w:rFonts w:ascii="Times New Roman" w:hAnsi="Times New Roman" w:cs="Times New Roman"/>
        </w:rPr>
        <w:t>7</w:t>
      </w:r>
      <w:r w:rsidR="00862516" w:rsidRPr="00F36B06">
        <w:rPr>
          <w:rFonts w:ascii="Times New Roman" w:hAnsi="Times New Roman" w:cs="Times New Roman"/>
        </w:rPr>
        <w:t> </w:t>
      </w:r>
      <w:proofErr w:type="spellStart"/>
      <w:r w:rsidR="00216027" w:rsidRPr="00F36B06">
        <w:rPr>
          <w:rFonts w:ascii="Times New Roman" w:hAnsi="Times New Roman" w:cs="Times New Roman"/>
          <w:i/>
          <w:iCs/>
        </w:rPr>
        <w:t>euro</w:t>
      </w:r>
      <w:proofErr w:type="spellEnd"/>
      <w:r w:rsidR="00216027" w:rsidRPr="00F36B06">
        <w:rPr>
          <w:rFonts w:ascii="Times New Roman" w:hAnsi="Times New Roman" w:cs="Times New Roman"/>
        </w:rPr>
        <w:t xml:space="preserve"> </w:t>
      </w:r>
      <w:bookmarkEnd w:id="6"/>
      <w:r w:rsidR="00216027" w:rsidRPr="00F36B06">
        <w:rPr>
          <w:rFonts w:ascii="Times New Roman" w:hAnsi="Times New Roman" w:cs="Times New Roman"/>
        </w:rPr>
        <w:t>(6</w:t>
      </w:r>
      <w:r w:rsidR="005D5A10" w:rsidRPr="00F36B06">
        <w:rPr>
          <w:rFonts w:ascii="Times New Roman" w:hAnsi="Times New Roman" w:cs="Times New Roman"/>
        </w:rPr>
        <w:t> </w:t>
      </w:r>
      <w:r w:rsidR="00216027" w:rsidRPr="00F36B06">
        <w:rPr>
          <w:rFonts w:ascii="Times New Roman" w:hAnsi="Times New Roman" w:cs="Times New Roman"/>
        </w:rPr>
        <w:t>%)</w:t>
      </w:r>
      <w:r w:rsidR="0004776E" w:rsidRPr="00F36B06">
        <w:rPr>
          <w:rFonts w:ascii="Times New Roman" w:hAnsi="Times New Roman" w:cs="Times New Roman"/>
        </w:rPr>
        <w:t xml:space="preserve"> </w:t>
      </w:r>
      <w:r w:rsidR="00EF3EAD" w:rsidRPr="00F36B06">
        <w:rPr>
          <w:rFonts w:ascii="Times New Roman" w:hAnsi="Times New Roman" w:cs="Times New Roman"/>
        </w:rPr>
        <w:t>no piespriest</w:t>
      </w:r>
      <w:r w:rsidR="00512F5F" w:rsidRPr="00F36B06">
        <w:rPr>
          <w:rFonts w:ascii="Times New Roman" w:hAnsi="Times New Roman" w:cs="Times New Roman"/>
        </w:rPr>
        <w:t>ā</w:t>
      </w:r>
      <w:r w:rsidR="00EF3EAD" w:rsidRPr="00F36B06">
        <w:rPr>
          <w:rFonts w:ascii="Times New Roman" w:hAnsi="Times New Roman" w:cs="Times New Roman"/>
        </w:rPr>
        <w:t xml:space="preserve">s summas </w:t>
      </w:r>
      <w:r w:rsidR="0004776E" w:rsidRPr="00F36B06">
        <w:rPr>
          <w:rFonts w:ascii="Times New Roman" w:hAnsi="Times New Roman" w:cs="Times New Roman"/>
        </w:rPr>
        <w:t>(</w:t>
      </w:r>
      <w:r w:rsidR="00D41CA6">
        <w:rPr>
          <w:rFonts w:ascii="Times New Roman" w:hAnsi="Times New Roman" w:cs="Times New Roman"/>
        </w:rPr>
        <w:t>4</w:t>
      </w:r>
      <w:r w:rsidR="00D759F7" w:rsidRPr="00F36B06">
        <w:rPr>
          <w:rFonts w:ascii="Times New Roman" w:hAnsi="Times New Roman" w:cs="Times New Roman"/>
        </w:rPr>
        <w:t>. </w:t>
      </w:r>
      <w:r w:rsidR="0004776E" w:rsidRPr="00F36B06">
        <w:rPr>
          <w:rFonts w:ascii="Times New Roman" w:hAnsi="Times New Roman" w:cs="Times New Roman"/>
        </w:rPr>
        <w:t>attēls)</w:t>
      </w:r>
      <w:r w:rsidR="00F900F0" w:rsidRPr="00F36B06">
        <w:rPr>
          <w:rFonts w:ascii="Times New Roman" w:hAnsi="Times New Roman" w:cs="Times New Roman"/>
        </w:rPr>
        <w:t>.</w:t>
      </w:r>
    </w:p>
    <w:p w14:paraId="7265C721" w14:textId="77777777" w:rsidR="00ED31C6" w:rsidRDefault="00ED31C6" w:rsidP="00225F11">
      <w:pPr>
        <w:spacing w:after="0" w:line="240" w:lineRule="auto"/>
        <w:ind w:firstLine="720"/>
        <w:jc w:val="right"/>
        <w:rPr>
          <w:rFonts w:ascii="Times New Roman" w:hAnsi="Times New Roman" w:cs="Times New Roman"/>
          <w:i/>
          <w:iCs/>
        </w:rPr>
      </w:pPr>
      <w:bookmarkStart w:id="7" w:name="_Hlk187528377"/>
    </w:p>
    <w:p w14:paraId="04BF7863" w14:textId="3618D9BC" w:rsidR="00225F11" w:rsidRDefault="00225F11" w:rsidP="00225F11">
      <w:pPr>
        <w:spacing w:after="0" w:line="240" w:lineRule="auto"/>
        <w:ind w:firstLine="720"/>
        <w:jc w:val="right"/>
        <w:rPr>
          <w:rFonts w:ascii="Times New Roman" w:hAnsi="Times New Roman" w:cs="Times New Roman"/>
          <w:b/>
          <w:bCs/>
        </w:rPr>
      </w:pPr>
      <w:r>
        <w:rPr>
          <w:rFonts w:ascii="Times New Roman" w:hAnsi="Times New Roman" w:cs="Times New Roman"/>
          <w:i/>
          <w:iCs/>
        </w:rPr>
        <w:lastRenderedPageBreak/>
        <w:t>4</w:t>
      </w:r>
      <w:r w:rsidRPr="00F36B06">
        <w:rPr>
          <w:rFonts w:ascii="Times New Roman" w:hAnsi="Times New Roman" w:cs="Times New Roman"/>
          <w:i/>
          <w:iCs/>
        </w:rPr>
        <w:t>. attēls</w:t>
      </w:r>
    </w:p>
    <w:p w14:paraId="5371E56E" w14:textId="0CED4011" w:rsidR="00225F11" w:rsidRDefault="00142DE4" w:rsidP="00225F11">
      <w:pPr>
        <w:spacing w:after="0" w:line="240" w:lineRule="auto"/>
        <w:ind w:firstLine="720"/>
        <w:jc w:val="right"/>
        <w:rPr>
          <w:rFonts w:ascii="Times New Roman" w:hAnsi="Times New Roman" w:cs="Times New Roman"/>
          <w:b/>
          <w:bCs/>
        </w:rPr>
      </w:pPr>
      <w:r w:rsidRPr="00F36B06">
        <w:rPr>
          <w:rFonts w:ascii="Times New Roman" w:hAnsi="Times New Roman" w:cs="Times New Roman"/>
          <w:b/>
          <w:bCs/>
        </w:rPr>
        <w:t>Administratoru</w:t>
      </w:r>
      <w:r w:rsidR="00686E1D" w:rsidRPr="00F36B06">
        <w:rPr>
          <w:rFonts w:ascii="Times New Roman" w:hAnsi="Times New Roman" w:cs="Times New Roman"/>
          <w:b/>
          <w:bCs/>
        </w:rPr>
        <w:t xml:space="preserve"> celt</w:t>
      </w:r>
      <w:r w:rsidRPr="00F36B06">
        <w:rPr>
          <w:rFonts w:ascii="Times New Roman" w:hAnsi="Times New Roman" w:cs="Times New Roman"/>
          <w:b/>
          <w:bCs/>
        </w:rPr>
        <w:t xml:space="preserve">o prasību rezultātā </w:t>
      </w:r>
      <w:r w:rsidR="007C073E" w:rsidRPr="00F36B06">
        <w:rPr>
          <w:rFonts w:ascii="Times New Roman" w:hAnsi="Times New Roman" w:cs="Times New Roman"/>
          <w:b/>
          <w:bCs/>
        </w:rPr>
        <w:t>tiesas piespriesto</w:t>
      </w:r>
      <w:r w:rsidR="00FF0C00" w:rsidRPr="00F36B06">
        <w:rPr>
          <w:rFonts w:ascii="Times New Roman" w:hAnsi="Times New Roman" w:cs="Times New Roman"/>
          <w:b/>
          <w:bCs/>
        </w:rPr>
        <w:t xml:space="preserve"> </w:t>
      </w:r>
      <w:bookmarkEnd w:id="7"/>
      <w:r w:rsidR="00FF0C00" w:rsidRPr="00F36B06">
        <w:rPr>
          <w:rFonts w:ascii="Times New Roman" w:hAnsi="Times New Roman" w:cs="Times New Roman"/>
          <w:b/>
          <w:bCs/>
        </w:rPr>
        <w:t>un atgūto summu attiecība</w:t>
      </w:r>
      <w:r w:rsidR="00225F11">
        <w:rPr>
          <w:rFonts w:ascii="Times New Roman" w:hAnsi="Times New Roman" w:cs="Times New Roman"/>
          <w:b/>
          <w:bCs/>
        </w:rPr>
        <w:t xml:space="preserve"> </w:t>
      </w:r>
    </w:p>
    <w:p w14:paraId="3ED46686" w14:textId="77777777" w:rsidR="00915BCD" w:rsidRPr="00F36B06" w:rsidRDefault="00915BCD" w:rsidP="00FF0C00">
      <w:pPr>
        <w:spacing w:after="0" w:line="240" w:lineRule="auto"/>
        <w:jc w:val="center"/>
        <w:rPr>
          <w:rFonts w:ascii="Times New Roman" w:hAnsi="Times New Roman" w:cs="Times New Roman"/>
          <w:b/>
          <w:bCs/>
        </w:rPr>
      </w:pPr>
    </w:p>
    <w:p w14:paraId="2EB022A2" w14:textId="0CAE79F8" w:rsidR="00F17FA5" w:rsidRPr="00F36B06" w:rsidRDefault="00915BCD" w:rsidP="00FF0C00">
      <w:pPr>
        <w:spacing w:after="0" w:line="240" w:lineRule="auto"/>
        <w:jc w:val="center"/>
        <w:rPr>
          <w:rFonts w:ascii="Times New Roman" w:hAnsi="Times New Roman" w:cs="Times New Roman"/>
          <w:b/>
          <w:bCs/>
        </w:rPr>
      </w:pPr>
      <w:r w:rsidRPr="00F36B06">
        <w:rPr>
          <w:rFonts w:ascii="Times New Roman" w:hAnsi="Times New Roman" w:cs="Times New Roman"/>
          <w:b/>
          <w:bCs/>
          <w:noProof/>
        </w:rPr>
        <w:drawing>
          <wp:inline distT="0" distB="0" distL="0" distR="0" wp14:anchorId="1C89D964" wp14:editId="755F7CB7">
            <wp:extent cx="5274945" cy="2333625"/>
            <wp:effectExtent l="0" t="0" r="1905" b="9525"/>
            <wp:docPr id="1949424509"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6C7490" w14:textId="77777777" w:rsidR="00686E1D" w:rsidRPr="00F36B06" w:rsidRDefault="00686E1D" w:rsidP="00A01E99">
      <w:pPr>
        <w:spacing w:after="0" w:line="240" w:lineRule="auto"/>
        <w:ind w:firstLine="720"/>
        <w:jc w:val="center"/>
        <w:rPr>
          <w:rFonts w:ascii="Times New Roman" w:hAnsi="Times New Roman" w:cs="Times New Roman"/>
          <w:i/>
          <w:iCs/>
        </w:rPr>
      </w:pPr>
    </w:p>
    <w:p w14:paraId="5BC373F3" w14:textId="6A2F541D" w:rsidR="00D426C8" w:rsidRPr="00F36B06" w:rsidRDefault="00DE3266" w:rsidP="00D426C8">
      <w:pPr>
        <w:spacing w:after="0" w:line="240" w:lineRule="auto"/>
        <w:ind w:firstLine="720"/>
        <w:jc w:val="both"/>
        <w:rPr>
          <w:rFonts w:ascii="Times New Roman" w:hAnsi="Times New Roman" w:cs="Times New Roman"/>
        </w:rPr>
      </w:pPr>
      <w:r w:rsidRPr="00F36B06">
        <w:rPr>
          <w:rFonts w:ascii="Times New Roman" w:hAnsi="Times New Roman" w:cs="Times New Roman"/>
        </w:rPr>
        <w:t>Kopējā</w:t>
      </w:r>
      <w:r w:rsidR="00B73325" w:rsidRPr="00F36B06">
        <w:rPr>
          <w:rFonts w:ascii="Times New Roman" w:hAnsi="Times New Roman" w:cs="Times New Roman"/>
        </w:rPr>
        <w:t>s</w:t>
      </w:r>
      <w:r w:rsidRPr="00F36B06">
        <w:rPr>
          <w:rFonts w:ascii="Times New Roman" w:hAnsi="Times New Roman" w:cs="Times New Roman"/>
        </w:rPr>
        <w:t xml:space="preserve"> a</w:t>
      </w:r>
      <w:r w:rsidR="00DB0B23" w:rsidRPr="00F36B06">
        <w:rPr>
          <w:rFonts w:ascii="Times New Roman" w:hAnsi="Times New Roman" w:cs="Times New Roman"/>
        </w:rPr>
        <w:t>tgūt</w:t>
      </w:r>
      <w:r w:rsidRPr="00F36B06">
        <w:rPr>
          <w:rFonts w:ascii="Times New Roman" w:hAnsi="Times New Roman" w:cs="Times New Roman"/>
        </w:rPr>
        <w:t>ā</w:t>
      </w:r>
      <w:r w:rsidR="00B73325" w:rsidRPr="00F36B06">
        <w:rPr>
          <w:rFonts w:ascii="Times New Roman" w:hAnsi="Times New Roman" w:cs="Times New Roman"/>
        </w:rPr>
        <w:t>s</w:t>
      </w:r>
      <w:r w:rsidRPr="00F36B06">
        <w:rPr>
          <w:rFonts w:ascii="Times New Roman" w:hAnsi="Times New Roman" w:cs="Times New Roman"/>
        </w:rPr>
        <w:t xml:space="preserve"> s</w:t>
      </w:r>
      <w:r w:rsidR="00D1249E" w:rsidRPr="00F36B06">
        <w:rPr>
          <w:rFonts w:ascii="Times New Roman" w:hAnsi="Times New Roman" w:cs="Times New Roman"/>
        </w:rPr>
        <w:t>umma</w:t>
      </w:r>
      <w:r w:rsidR="00B73325" w:rsidRPr="00F36B06">
        <w:rPr>
          <w:rFonts w:ascii="Times New Roman" w:hAnsi="Times New Roman" w:cs="Times New Roman"/>
        </w:rPr>
        <w:t>s</w:t>
      </w:r>
      <w:r w:rsidR="00DB0B23" w:rsidRPr="00F36B06">
        <w:rPr>
          <w:rFonts w:ascii="Times New Roman" w:hAnsi="Times New Roman" w:cs="Times New Roman"/>
        </w:rPr>
        <w:t xml:space="preserve"> </w:t>
      </w:r>
      <w:r w:rsidR="00D35D64" w:rsidRPr="00F36B06">
        <w:rPr>
          <w:rFonts w:ascii="Times New Roman" w:hAnsi="Times New Roman" w:cs="Times New Roman"/>
        </w:rPr>
        <w:t>946 80</w:t>
      </w:r>
      <w:r w:rsidR="006A5628">
        <w:rPr>
          <w:rFonts w:ascii="Times New Roman" w:hAnsi="Times New Roman" w:cs="Times New Roman"/>
        </w:rPr>
        <w:t>7</w:t>
      </w:r>
      <w:r w:rsidR="00D35D64" w:rsidRPr="00F36B06">
        <w:rPr>
          <w:rFonts w:ascii="Times New Roman" w:hAnsi="Times New Roman" w:cs="Times New Roman"/>
        </w:rPr>
        <w:t> </w:t>
      </w:r>
      <w:proofErr w:type="spellStart"/>
      <w:r w:rsidR="00D35D64" w:rsidRPr="00F36B06">
        <w:rPr>
          <w:rFonts w:ascii="Times New Roman" w:hAnsi="Times New Roman" w:cs="Times New Roman"/>
          <w:i/>
          <w:iCs/>
        </w:rPr>
        <w:t>euro</w:t>
      </w:r>
      <w:proofErr w:type="spellEnd"/>
      <w:r w:rsidR="00356D95" w:rsidRPr="00F36B06">
        <w:rPr>
          <w:rFonts w:ascii="Times New Roman" w:hAnsi="Times New Roman" w:cs="Times New Roman"/>
          <w:i/>
          <w:iCs/>
        </w:rPr>
        <w:t xml:space="preserve"> </w:t>
      </w:r>
      <w:r w:rsidR="00D1249E" w:rsidRPr="00F36B06">
        <w:rPr>
          <w:rFonts w:ascii="Times New Roman" w:hAnsi="Times New Roman" w:cs="Times New Roman"/>
        </w:rPr>
        <w:t>sadal</w:t>
      </w:r>
      <w:r w:rsidR="00B73325" w:rsidRPr="00F36B06">
        <w:rPr>
          <w:rFonts w:ascii="Times New Roman" w:hAnsi="Times New Roman" w:cs="Times New Roman"/>
        </w:rPr>
        <w:t>ījum</w:t>
      </w:r>
      <w:r w:rsidR="00D426C8" w:rsidRPr="00F36B06">
        <w:rPr>
          <w:rFonts w:ascii="Times New Roman" w:hAnsi="Times New Roman" w:cs="Times New Roman"/>
        </w:rPr>
        <w:t>s</w:t>
      </w:r>
      <w:r w:rsidR="00B73325" w:rsidRPr="00F36B06">
        <w:rPr>
          <w:rFonts w:ascii="Times New Roman" w:hAnsi="Times New Roman" w:cs="Times New Roman"/>
        </w:rPr>
        <w:t xml:space="preserve"> atkarībā </w:t>
      </w:r>
      <w:r w:rsidR="00D1249E" w:rsidRPr="00F36B06">
        <w:rPr>
          <w:rFonts w:ascii="Times New Roman" w:hAnsi="Times New Roman" w:cs="Times New Roman"/>
        </w:rPr>
        <w:t>no veida</w:t>
      </w:r>
      <w:r w:rsidR="0047380D" w:rsidRPr="00F36B06">
        <w:rPr>
          <w:rFonts w:ascii="Times New Roman" w:hAnsi="Times New Roman" w:cs="Times New Roman"/>
        </w:rPr>
        <w:t>,</w:t>
      </w:r>
      <w:r w:rsidR="00D1249E" w:rsidRPr="00F36B06">
        <w:rPr>
          <w:rFonts w:ascii="Times New Roman" w:hAnsi="Times New Roman" w:cs="Times New Roman"/>
        </w:rPr>
        <w:t xml:space="preserve"> </w:t>
      </w:r>
      <w:r w:rsidR="005442B2" w:rsidRPr="00F36B06">
        <w:rPr>
          <w:rFonts w:ascii="Times New Roman" w:hAnsi="Times New Roman" w:cs="Times New Roman"/>
        </w:rPr>
        <w:t>kā</w:t>
      </w:r>
      <w:r w:rsidR="0047380D" w:rsidRPr="00F36B06">
        <w:rPr>
          <w:rFonts w:ascii="Times New Roman" w:hAnsi="Times New Roman" w:cs="Times New Roman"/>
        </w:rPr>
        <w:t xml:space="preserve"> tā</w:t>
      </w:r>
      <w:r w:rsidR="005442B2" w:rsidRPr="00F36B06">
        <w:rPr>
          <w:rFonts w:ascii="Times New Roman" w:hAnsi="Times New Roman" w:cs="Times New Roman"/>
        </w:rPr>
        <w:t xml:space="preserve"> tika atgūta</w:t>
      </w:r>
      <w:r w:rsidR="00D426C8" w:rsidRPr="00F36B06">
        <w:rPr>
          <w:rFonts w:ascii="Times New Roman" w:hAnsi="Times New Roman" w:cs="Times New Roman"/>
        </w:rPr>
        <w:t xml:space="preserve"> ir pieejams 1. tabulā</w:t>
      </w:r>
      <w:r w:rsidR="00054F33" w:rsidRPr="00F36B06">
        <w:rPr>
          <w:rFonts w:ascii="Times New Roman" w:hAnsi="Times New Roman" w:cs="Times New Roman"/>
        </w:rPr>
        <w:t xml:space="preserve">, kā arī </w:t>
      </w:r>
      <w:r w:rsidR="009F1F7F">
        <w:rPr>
          <w:rFonts w:ascii="Times New Roman" w:hAnsi="Times New Roman" w:cs="Times New Roman"/>
        </w:rPr>
        <w:t>5</w:t>
      </w:r>
      <w:r w:rsidR="00D06277" w:rsidRPr="00F36B06">
        <w:rPr>
          <w:rFonts w:ascii="Times New Roman" w:hAnsi="Times New Roman" w:cs="Times New Roman"/>
        </w:rPr>
        <w:t xml:space="preserve">., </w:t>
      </w:r>
      <w:r w:rsidR="009F1F7F">
        <w:rPr>
          <w:rFonts w:ascii="Times New Roman" w:hAnsi="Times New Roman" w:cs="Times New Roman"/>
        </w:rPr>
        <w:t>6</w:t>
      </w:r>
      <w:r w:rsidR="00D06277" w:rsidRPr="00F36B06">
        <w:rPr>
          <w:rFonts w:ascii="Times New Roman" w:hAnsi="Times New Roman" w:cs="Times New Roman"/>
        </w:rPr>
        <w:t xml:space="preserve">. un </w:t>
      </w:r>
      <w:r w:rsidR="009F1F7F">
        <w:rPr>
          <w:rFonts w:ascii="Times New Roman" w:hAnsi="Times New Roman" w:cs="Times New Roman"/>
        </w:rPr>
        <w:t>7</w:t>
      </w:r>
      <w:r w:rsidR="00D06277" w:rsidRPr="00F36B06">
        <w:rPr>
          <w:rFonts w:ascii="Times New Roman" w:hAnsi="Times New Roman" w:cs="Times New Roman"/>
        </w:rPr>
        <w:t>. attēlā.</w:t>
      </w:r>
    </w:p>
    <w:p w14:paraId="4FF7DCC8" w14:textId="77777777" w:rsidR="00F31B75" w:rsidRPr="00F36B06" w:rsidRDefault="00F31B75" w:rsidP="00D426C8">
      <w:pPr>
        <w:spacing w:after="0" w:line="240" w:lineRule="auto"/>
        <w:ind w:firstLine="720"/>
        <w:jc w:val="both"/>
        <w:rPr>
          <w:rFonts w:ascii="Times New Roman" w:hAnsi="Times New Roman" w:cs="Times New Roman"/>
        </w:rPr>
      </w:pPr>
    </w:p>
    <w:p w14:paraId="41955C41" w14:textId="5EA20C98" w:rsidR="00F31B75" w:rsidRPr="00F36B06" w:rsidRDefault="00F31B75" w:rsidP="00F31B75">
      <w:pPr>
        <w:spacing w:after="0" w:line="240" w:lineRule="auto"/>
        <w:ind w:firstLine="720"/>
        <w:jc w:val="right"/>
        <w:rPr>
          <w:rFonts w:ascii="Times New Roman" w:hAnsi="Times New Roman" w:cs="Times New Roman"/>
          <w:i/>
          <w:iCs/>
        </w:rPr>
      </w:pPr>
      <w:r w:rsidRPr="00F36B06">
        <w:rPr>
          <w:rFonts w:ascii="Times New Roman" w:hAnsi="Times New Roman" w:cs="Times New Roman"/>
          <w:i/>
          <w:iCs/>
        </w:rPr>
        <w:t>1. tabula</w:t>
      </w:r>
    </w:p>
    <w:p w14:paraId="0C4C8752" w14:textId="296FB4D7" w:rsidR="00D426C8" w:rsidRPr="00F36B06" w:rsidRDefault="000626F9" w:rsidP="00F31B75">
      <w:pPr>
        <w:spacing w:after="0" w:line="240" w:lineRule="auto"/>
        <w:jc w:val="center"/>
        <w:rPr>
          <w:rFonts w:ascii="Times New Roman" w:hAnsi="Times New Roman" w:cs="Times New Roman"/>
          <w:b/>
          <w:bCs/>
        </w:rPr>
      </w:pPr>
      <w:r w:rsidRPr="00F36B06">
        <w:rPr>
          <w:rFonts w:ascii="Times New Roman" w:hAnsi="Times New Roman" w:cs="Times New Roman"/>
          <w:b/>
          <w:bCs/>
        </w:rPr>
        <w:t>Piespriesto un a</w:t>
      </w:r>
      <w:r w:rsidR="00D426C8" w:rsidRPr="00F36B06">
        <w:rPr>
          <w:rFonts w:ascii="Times New Roman" w:hAnsi="Times New Roman" w:cs="Times New Roman"/>
          <w:b/>
          <w:bCs/>
        </w:rPr>
        <w:t xml:space="preserve">tgūto summu sadalījums pēc </w:t>
      </w:r>
      <w:r w:rsidRPr="00F36B06">
        <w:rPr>
          <w:rFonts w:ascii="Times New Roman" w:hAnsi="Times New Roman" w:cs="Times New Roman"/>
          <w:b/>
          <w:bCs/>
        </w:rPr>
        <w:t xml:space="preserve">to </w:t>
      </w:r>
      <w:r w:rsidR="00D426C8" w:rsidRPr="00F36B06">
        <w:rPr>
          <w:rFonts w:ascii="Times New Roman" w:hAnsi="Times New Roman" w:cs="Times New Roman"/>
          <w:b/>
          <w:bCs/>
        </w:rPr>
        <w:t>atgūšanas veida</w:t>
      </w:r>
    </w:p>
    <w:p w14:paraId="26260CCD" w14:textId="77777777" w:rsidR="00F31B75" w:rsidRPr="00F36B06" w:rsidRDefault="00F31B75" w:rsidP="00F31B75">
      <w:pPr>
        <w:spacing w:after="0" w:line="240" w:lineRule="auto"/>
        <w:ind w:firstLine="720"/>
        <w:jc w:val="center"/>
        <w:rPr>
          <w:rFonts w:ascii="Times New Roman" w:hAnsi="Times New Roman" w:cs="Times New Roman"/>
          <w:b/>
          <w:bCs/>
        </w:rPr>
      </w:pPr>
    </w:p>
    <w:tbl>
      <w:tblPr>
        <w:tblStyle w:val="TableGrid"/>
        <w:tblW w:w="9635" w:type="dxa"/>
        <w:tblLook w:val="04A0" w:firstRow="1" w:lastRow="0" w:firstColumn="1" w:lastColumn="0" w:noHBand="0" w:noVBand="1"/>
      </w:tblPr>
      <w:tblGrid>
        <w:gridCol w:w="1980"/>
        <w:gridCol w:w="1559"/>
        <w:gridCol w:w="2552"/>
        <w:gridCol w:w="1984"/>
        <w:gridCol w:w="1560"/>
      </w:tblGrid>
      <w:tr w:rsidR="008828B4" w:rsidRPr="00F36B06" w14:paraId="266D481C" w14:textId="77777777" w:rsidTr="00596FEF">
        <w:tc>
          <w:tcPr>
            <w:tcW w:w="1980" w:type="dxa"/>
            <w:tcBorders>
              <w:top w:val="single" w:sz="4" w:space="0" w:color="auto"/>
              <w:left w:val="single" w:sz="4" w:space="0" w:color="auto"/>
              <w:bottom w:val="single" w:sz="4" w:space="0" w:color="auto"/>
              <w:right w:val="single" w:sz="4" w:space="0" w:color="auto"/>
            </w:tcBorders>
            <w:shd w:val="clear" w:color="auto" w:fill="B3E3FA"/>
            <w:hideMark/>
          </w:tcPr>
          <w:p w14:paraId="6EEFFF7F" w14:textId="77777777" w:rsidR="00D426C8" w:rsidRPr="00F36B06" w:rsidRDefault="00D426C8" w:rsidP="00ED5FE7">
            <w:pPr>
              <w:jc w:val="center"/>
              <w:rPr>
                <w:rFonts w:ascii="Times New Roman" w:hAnsi="Times New Roman" w:cs="Times New Roman"/>
                <w:b/>
                <w:bCs/>
              </w:rPr>
            </w:pPr>
            <w:r w:rsidRPr="00F36B06">
              <w:rPr>
                <w:rFonts w:ascii="Times New Roman" w:hAnsi="Times New Roman" w:cs="Times New Roman"/>
                <w:b/>
                <w:bCs/>
              </w:rPr>
              <w:t>Atgūšanas veids</w:t>
            </w:r>
          </w:p>
        </w:tc>
        <w:tc>
          <w:tcPr>
            <w:tcW w:w="1559" w:type="dxa"/>
            <w:tcBorders>
              <w:top w:val="single" w:sz="4" w:space="0" w:color="auto"/>
              <w:left w:val="single" w:sz="4" w:space="0" w:color="auto"/>
              <w:bottom w:val="single" w:sz="4" w:space="0" w:color="auto"/>
              <w:right w:val="single" w:sz="4" w:space="0" w:color="auto"/>
            </w:tcBorders>
            <w:shd w:val="clear" w:color="auto" w:fill="B3E3FA"/>
            <w:hideMark/>
          </w:tcPr>
          <w:p w14:paraId="08299983" w14:textId="77777777" w:rsidR="00D426C8" w:rsidRPr="00F36B06" w:rsidRDefault="00D426C8" w:rsidP="00ED5FE7">
            <w:pPr>
              <w:jc w:val="center"/>
              <w:rPr>
                <w:rFonts w:ascii="Times New Roman" w:hAnsi="Times New Roman" w:cs="Times New Roman"/>
                <w:b/>
                <w:bCs/>
              </w:rPr>
            </w:pPr>
            <w:r w:rsidRPr="00F36B06">
              <w:rPr>
                <w:rFonts w:ascii="Times New Roman" w:hAnsi="Times New Roman" w:cs="Times New Roman"/>
                <w:b/>
                <w:bCs/>
              </w:rPr>
              <w:t>Gadījumu skaits</w:t>
            </w:r>
          </w:p>
        </w:tc>
        <w:tc>
          <w:tcPr>
            <w:tcW w:w="2552" w:type="dxa"/>
            <w:tcBorders>
              <w:top w:val="single" w:sz="4" w:space="0" w:color="auto"/>
              <w:left w:val="single" w:sz="4" w:space="0" w:color="auto"/>
              <w:bottom w:val="single" w:sz="4" w:space="0" w:color="auto"/>
              <w:right w:val="single" w:sz="4" w:space="0" w:color="auto"/>
            </w:tcBorders>
            <w:shd w:val="clear" w:color="auto" w:fill="B3E3FA"/>
            <w:hideMark/>
          </w:tcPr>
          <w:p w14:paraId="3EF2D922" w14:textId="5B91211D" w:rsidR="00D426C8" w:rsidRPr="00F36B06" w:rsidRDefault="00D426C8" w:rsidP="00ED5FE7">
            <w:pPr>
              <w:jc w:val="center"/>
              <w:rPr>
                <w:rFonts w:ascii="Times New Roman" w:hAnsi="Times New Roman" w:cs="Times New Roman"/>
                <w:b/>
                <w:bCs/>
              </w:rPr>
            </w:pPr>
            <w:r w:rsidRPr="00F36B06">
              <w:rPr>
                <w:rFonts w:ascii="Times New Roman" w:hAnsi="Times New Roman" w:cs="Times New Roman"/>
                <w:b/>
                <w:bCs/>
              </w:rPr>
              <w:t>Piespriestā summa (</w:t>
            </w:r>
            <w:proofErr w:type="spellStart"/>
            <w:r w:rsidR="000A6BB7" w:rsidRPr="000A6BB7">
              <w:rPr>
                <w:rFonts w:ascii="Times New Roman" w:hAnsi="Times New Roman" w:cs="Times New Roman"/>
                <w:b/>
                <w:bCs/>
                <w:i/>
                <w:iCs/>
              </w:rPr>
              <w:t>euro</w:t>
            </w:r>
            <w:proofErr w:type="spellEnd"/>
            <w:r w:rsidRPr="00F36B06">
              <w:rPr>
                <w:rFonts w:ascii="Times New Roman" w:hAnsi="Times New Roman" w:cs="Times New Roman"/>
                <w:b/>
                <w:bCs/>
              </w:rPr>
              <w:t>)</w:t>
            </w:r>
          </w:p>
        </w:tc>
        <w:tc>
          <w:tcPr>
            <w:tcW w:w="1984" w:type="dxa"/>
            <w:tcBorders>
              <w:top w:val="single" w:sz="4" w:space="0" w:color="auto"/>
              <w:left w:val="single" w:sz="4" w:space="0" w:color="auto"/>
              <w:bottom w:val="single" w:sz="4" w:space="0" w:color="auto"/>
              <w:right w:val="single" w:sz="4" w:space="0" w:color="auto"/>
            </w:tcBorders>
            <w:shd w:val="clear" w:color="auto" w:fill="B3E3FA"/>
            <w:hideMark/>
          </w:tcPr>
          <w:p w14:paraId="0580BD14" w14:textId="6BF89419" w:rsidR="00D426C8" w:rsidRPr="00F36B06" w:rsidRDefault="00D426C8" w:rsidP="00ED5FE7">
            <w:pPr>
              <w:jc w:val="center"/>
              <w:rPr>
                <w:rFonts w:ascii="Times New Roman" w:hAnsi="Times New Roman" w:cs="Times New Roman"/>
                <w:b/>
                <w:bCs/>
              </w:rPr>
            </w:pPr>
            <w:r w:rsidRPr="00F36B06">
              <w:rPr>
                <w:rFonts w:ascii="Times New Roman" w:hAnsi="Times New Roman" w:cs="Times New Roman"/>
                <w:b/>
                <w:bCs/>
              </w:rPr>
              <w:t>Atgūtā summa (</w:t>
            </w:r>
            <w:proofErr w:type="spellStart"/>
            <w:r w:rsidR="00632B30" w:rsidRPr="00632B30">
              <w:rPr>
                <w:rFonts w:ascii="Times New Roman" w:hAnsi="Times New Roman" w:cs="Times New Roman"/>
                <w:b/>
                <w:bCs/>
                <w:i/>
                <w:iCs/>
              </w:rPr>
              <w:t>euro</w:t>
            </w:r>
            <w:proofErr w:type="spellEnd"/>
            <w:r w:rsidRPr="00F36B06">
              <w:rPr>
                <w:rFonts w:ascii="Times New Roman" w:hAnsi="Times New Roman" w:cs="Times New Roman"/>
                <w:b/>
                <w:bCs/>
              </w:rPr>
              <w:t>)</w:t>
            </w:r>
          </w:p>
        </w:tc>
        <w:tc>
          <w:tcPr>
            <w:tcW w:w="1560" w:type="dxa"/>
            <w:tcBorders>
              <w:top w:val="single" w:sz="4" w:space="0" w:color="auto"/>
              <w:left w:val="single" w:sz="4" w:space="0" w:color="auto"/>
              <w:bottom w:val="single" w:sz="4" w:space="0" w:color="auto"/>
              <w:right w:val="single" w:sz="4" w:space="0" w:color="auto"/>
            </w:tcBorders>
            <w:shd w:val="clear" w:color="auto" w:fill="B3E3FA"/>
            <w:hideMark/>
          </w:tcPr>
          <w:p w14:paraId="36E265EF" w14:textId="2BD10EEA" w:rsidR="00D426C8" w:rsidRPr="00F36B06" w:rsidRDefault="00D426C8" w:rsidP="00ED5FE7">
            <w:pPr>
              <w:jc w:val="center"/>
              <w:rPr>
                <w:rFonts w:ascii="Times New Roman" w:hAnsi="Times New Roman" w:cs="Times New Roman"/>
                <w:b/>
                <w:bCs/>
              </w:rPr>
            </w:pPr>
            <w:r w:rsidRPr="00F36B06">
              <w:rPr>
                <w:rFonts w:ascii="Times New Roman" w:hAnsi="Times New Roman" w:cs="Times New Roman"/>
                <w:b/>
                <w:bCs/>
              </w:rPr>
              <w:t xml:space="preserve">Atgūtais </w:t>
            </w:r>
            <w:r w:rsidR="00562322">
              <w:rPr>
                <w:rFonts w:ascii="Times New Roman" w:hAnsi="Times New Roman" w:cs="Times New Roman"/>
                <w:b/>
                <w:bCs/>
              </w:rPr>
              <w:t>(</w:t>
            </w:r>
            <w:r w:rsidRPr="00F36B06">
              <w:rPr>
                <w:rFonts w:ascii="Times New Roman" w:hAnsi="Times New Roman" w:cs="Times New Roman"/>
                <w:b/>
                <w:bCs/>
              </w:rPr>
              <w:t>%</w:t>
            </w:r>
            <w:r w:rsidR="00562322">
              <w:rPr>
                <w:rFonts w:ascii="Times New Roman" w:hAnsi="Times New Roman" w:cs="Times New Roman"/>
                <w:b/>
                <w:bCs/>
              </w:rPr>
              <w:t>)</w:t>
            </w:r>
          </w:p>
        </w:tc>
      </w:tr>
      <w:tr w:rsidR="008828B4" w:rsidRPr="00F36B06" w14:paraId="6225339B" w14:textId="77777777" w:rsidTr="00211D4F">
        <w:tc>
          <w:tcPr>
            <w:tcW w:w="1980" w:type="dxa"/>
            <w:tcBorders>
              <w:top w:val="single" w:sz="4" w:space="0" w:color="auto"/>
              <w:left w:val="single" w:sz="4" w:space="0" w:color="auto"/>
              <w:bottom w:val="single" w:sz="4" w:space="0" w:color="auto"/>
              <w:right w:val="single" w:sz="4" w:space="0" w:color="auto"/>
            </w:tcBorders>
            <w:hideMark/>
          </w:tcPr>
          <w:p w14:paraId="49741C2F" w14:textId="77777777" w:rsidR="00D426C8" w:rsidRPr="00F36B06" w:rsidRDefault="00D426C8" w:rsidP="00F31B75">
            <w:pPr>
              <w:jc w:val="both"/>
              <w:rPr>
                <w:rFonts w:ascii="Times New Roman" w:hAnsi="Times New Roman" w:cs="Times New Roman"/>
              </w:rPr>
            </w:pPr>
            <w:r w:rsidRPr="00F36B06">
              <w:rPr>
                <w:rFonts w:ascii="Times New Roman" w:hAnsi="Times New Roman" w:cs="Times New Roman"/>
              </w:rPr>
              <w:t>Izlīgums</w:t>
            </w:r>
          </w:p>
        </w:tc>
        <w:tc>
          <w:tcPr>
            <w:tcW w:w="1559" w:type="dxa"/>
            <w:tcBorders>
              <w:top w:val="single" w:sz="4" w:space="0" w:color="auto"/>
              <w:left w:val="single" w:sz="4" w:space="0" w:color="auto"/>
              <w:bottom w:val="single" w:sz="4" w:space="0" w:color="auto"/>
              <w:right w:val="single" w:sz="4" w:space="0" w:color="auto"/>
            </w:tcBorders>
            <w:hideMark/>
          </w:tcPr>
          <w:p w14:paraId="066A11E4"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17</w:t>
            </w:r>
          </w:p>
        </w:tc>
        <w:tc>
          <w:tcPr>
            <w:tcW w:w="2552" w:type="dxa"/>
            <w:tcBorders>
              <w:top w:val="single" w:sz="4" w:space="0" w:color="auto"/>
              <w:left w:val="single" w:sz="4" w:space="0" w:color="auto"/>
              <w:bottom w:val="single" w:sz="4" w:space="0" w:color="auto"/>
              <w:right w:val="single" w:sz="4" w:space="0" w:color="auto"/>
            </w:tcBorders>
            <w:hideMark/>
          </w:tcPr>
          <w:p w14:paraId="2E3D1100" w14:textId="232EA4C8" w:rsidR="00D426C8" w:rsidRPr="00F36B06" w:rsidRDefault="00D426C8" w:rsidP="00ED5FE7">
            <w:pPr>
              <w:jc w:val="center"/>
              <w:rPr>
                <w:rFonts w:ascii="Times New Roman" w:hAnsi="Times New Roman" w:cs="Times New Roman"/>
              </w:rPr>
            </w:pPr>
            <w:r w:rsidRPr="00F36B06">
              <w:rPr>
                <w:rFonts w:ascii="Times New Roman" w:hAnsi="Times New Roman" w:cs="Times New Roman"/>
              </w:rPr>
              <w:t>7</w:t>
            </w:r>
            <w:r w:rsidR="0098775B" w:rsidRPr="00F36B06">
              <w:rPr>
                <w:rFonts w:ascii="Times New Roman" w:hAnsi="Times New Roman" w:cs="Times New Roman"/>
              </w:rPr>
              <w:t> </w:t>
            </w:r>
            <w:r w:rsidRPr="00F36B06">
              <w:rPr>
                <w:rFonts w:ascii="Times New Roman" w:hAnsi="Times New Roman" w:cs="Times New Roman"/>
              </w:rPr>
              <w:t>524</w:t>
            </w:r>
            <w:r w:rsidR="0098775B" w:rsidRPr="00F36B06">
              <w:rPr>
                <w:rFonts w:ascii="Times New Roman" w:hAnsi="Times New Roman" w:cs="Times New Roman"/>
              </w:rPr>
              <w:t> </w:t>
            </w:r>
            <w:r w:rsidRPr="00F36B06">
              <w:rPr>
                <w:rFonts w:ascii="Times New Roman" w:hAnsi="Times New Roman" w:cs="Times New Roman"/>
              </w:rPr>
              <w:t>062</w:t>
            </w:r>
          </w:p>
        </w:tc>
        <w:tc>
          <w:tcPr>
            <w:tcW w:w="1984" w:type="dxa"/>
            <w:tcBorders>
              <w:top w:val="single" w:sz="4" w:space="0" w:color="auto"/>
              <w:left w:val="single" w:sz="4" w:space="0" w:color="auto"/>
              <w:bottom w:val="single" w:sz="4" w:space="0" w:color="auto"/>
              <w:right w:val="single" w:sz="4" w:space="0" w:color="auto"/>
            </w:tcBorders>
            <w:hideMark/>
          </w:tcPr>
          <w:p w14:paraId="77C1F72D" w14:textId="0E9D593A" w:rsidR="00D426C8" w:rsidRPr="00F36B06" w:rsidRDefault="00D426C8" w:rsidP="00ED5FE7">
            <w:pPr>
              <w:jc w:val="center"/>
              <w:rPr>
                <w:rFonts w:ascii="Times New Roman" w:hAnsi="Times New Roman" w:cs="Times New Roman"/>
              </w:rPr>
            </w:pPr>
            <w:r w:rsidRPr="00F36B06">
              <w:rPr>
                <w:rFonts w:ascii="Times New Roman" w:hAnsi="Times New Roman" w:cs="Times New Roman"/>
              </w:rPr>
              <w:t>287</w:t>
            </w:r>
            <w:r w:rsidR="0098775B" w:rsidRPr="00F36B06">
              <w:rPr>
                <w:rFonts w:ascii="Times New Roman" w:hAnsi="Times New Roman" w:cs="Times New Roman"/>
              </w:rPr>
              <w:t> </w:t>
            </w:r>
            <w:r w:rsidRPr="00F36B06">
              <w:rPr>
                <w:rFonts w:ascii="Times New Roman" w:hAnsi="Times New Roman" w:cs="Times New Roman"/>
              </w:rPr>
              <w:t>20</w:t>
            </w:r>
            <w:r w:rsidR="006A5628">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hideMark/>
          </w:tcPr>
          <w:p w14:paraId="673472CE"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4</w:t>
            </w:r>
          </w:p>
        </w:tc>
      </w:tr>
      <w:tr w:rsidR="008828B4" w:rsidRPr="00F36B06" w14:paraId="75D29E0B" w14:textId="77777777" w:rsidTr="00211D4F">
        <w:tc>
          <w:tcPr>
            <w:tcW w:w="1980" w:type="dxa"/>
            <w:tcBorders>
              <w:top w:val="single" w:sz="4" w:space="0" w:color="auto"/>
              <w:left w:val="single" w:sz="4" w:space="0" w:color="auto"/>
              <w:bottom w:val="single" w:sz="4" w:space="0" w:color="auto"/>
              <w:right w:val="single" w:sz="4" w:space="0" w:color="auto"/>
            </w:tcBorders>
            <w:hideMark/>
          </w:tcPr>
          <w:p w14:paraId="4839BB4B" w14:textId="77777777" w:rsidR="00D426C8" w:rsidRPr="00F36B06" w:rsidRDefault="00D426C8" w:rsidP="00F31B75">
            <w:pPr>
              <w:jc w:val="both"/>
              <w:rPr>
                <w:rFonts w:ascii="Times New Roman" w:hAnsi="Times New Roman" w:cs="Times New Roman"/>
              </w:rPr>
            </w:pPr>
            <w:r w:rsidRPr="00F36B06">
              <w:rPr>
                <w:rFonts w:ascii="Times New Roman" w:hAnsi="Times New Roman" w:cs="Times New Roman"/>
              </w:rPr>
              <w:t>Cesija</w:t>
            </w:r>
          </w:p>
        </w:tc>
        <w:tc>
          <w:tcPr>
            <w:tcW w:w="1559" w:type="dxa"/>
            <w:tcBorders>
              <w:top w:val="single" w:sz="4" w:space="0" w:color="auto"/>
              <w:left w:val="single" w:sz="4" w:space="0" w:color="auto"/>
              <w:bottom w:val="single" w:sz="4" w:space="0" w:color="auto"/>
              <w:right w:val="single" w:sz="4" w:space="0" w:color="auto"/>
            </w:tcBorders>
            <w:hideMark/>
          </w:tcPr>
          <w:p w14:paraId="69D2FAFE"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47</w:t>
            </w:r>
          </w:p>
        </w:tc>
        <w:tc>
          <w:tcPr>
            <w:tcW w:w="2552" w:type="dxa"/>
            <w:tcBorders>
              <w:top w:val="single" w:sz="4" w:space="0" w:color="auto"/>
              <w:left w:val="single" w:sz="4" w:space="0" w:color="auto"/>
              <w:bottom w:val="single" w:sz="4" w:space="0" w:color="auto"/>
              <w:right w:val="single" w:sz="4" w:space="0" w:color="auto"/>
            </w:tcBorders>
            <w:hideMark/>
          </w:tcPr>
          <w:p w14:paraId="5DF3DECE" w14:textId="3D92FE92" w:rsidR="00D426C8" w:rsidRPr="00F36B06" w:rsidRDefault="00D426C8" w:rsidP="00ED5FE7">
            <w:pPr>
              <w:jc w:val="center"/>
              <w:rPr>
                <w:rFonts w:ascii="Times New Roman" w:hAnsi="Times New Roman" w:cs="Times New Roman"/>
              </w:rPr>
            </w:pPr>
            <w:r w:rsidRPr="00F36B06">
              <w:rPr>
                <w:rFonts w:ascii="Times New Roman" w:hAnsi="Times New Roman" w:cs="Times New Roman"/>
              </w:rPr>
              <w:t>5</w:t>
            </w:r>
            <w:r w:rsidR="0098775B" w:rsidRPr="00F36B06">
              <w:rPr>
                <w:rFonts w:ascii="Times New Roman" w:hAnsi="Times New Roman" w:cs="Times New Roman"/>
              </w:rPr>
              <w:t> </w:t>
            </w:r>
            <w:r w:rsidRPr="00F36B06">
              <w:rPr>
                <w:rFonts w:ascii="Times New Roman" w:hAnsi="Times New Roman" w:cs="Times New Roman"/>
              </w:rPr>
              <w:t>186</w:t>
            </w:r>
            <w:r w:rsidR="0098775B" w:rsidRPr="00F36B06">
              <w:rPr>
                <w:rFonts w:ascii="Times New Roman" w:hAnsi="Times New Roman" w:cs="Times New Roman"/>
              </w:rPr>
              <w:t> </w:t>
            </w:r>
            <w:r w:rsidRPr="00F36B06">
              <w:rPr>
                <w:rFonts w:ascii="Times New Roman" w:hAnsi="Times New Roman" w:cs="Times New Roman"/>
              </w:rPr>
              <w:t>448</w:t>
            </w:r>
          </w:p>
        </w:tc>
        <w:tc>
          <w:tcPr>
            <w:tcW w:w="1984" w:type="dxa"/>
            <w:tcBorders>
              <w:top w:val="single" w:sz="4" w:space="0" w:color="auto"/>
              <w:left w:val="single" w:sz="4" w:space="0" w:color="auto"/>
              <w:bottom w:val="single" w:sz="4" w:space="0" w:color="auto"/>
              <w:right w:val="single" w:sz="4" w:space="0" w:color="auto"/>
            </w:tcBorders>
            <w:hideMark/>
          </w:tcPr>
          <w:p w14:paraId="6FB75A54" w14:textId="175D0D8C" w:rsidR="00D426C8" w:rsidRPr="00F36B06" w:rsidRDefault="00D426C8" w:rsidP="00ED5FE7">
            <w:pPr>
              <w:jc w:val="center"/>
              <w:rPr>
                <w:rFonts w:ascii="Times New Roman" w:hAnsi="Times New Roman" w:cs="Times New Roman"/>
              </w:rPr>
            </w:pPr>
            <w:r w:rsidRPr="00F36B06">
              <w:rPr>
                <w:rFonts w:ascii="Times New Roman" w:hAnsi="Times New Roman" w:cs="Times New Roman"/>
              </w:rPr>
              <w:t>62</w:t>
            </w:r>
            <w:r w:rsidR="0098775B" w:rsidRPr="00F36B06">
              <w:rPr>
                <w:rFonts w:ascii="Times New Roman" w:hAnsi="Times New Roman" w:cs="Times New Roman"/>
              </w:rPr>
              <w:t> </w:t>
            </w:r>
            <w:r w:rsidRPr="00F36B06">
              <w:rPr>
                <w:rFonts w:ascii="Times New Roman" w:hAnsi="Times New Roman" w:cs="Times New Roman"/>
              </w:rPr>
              <w:t>09</w:t>
            </w:r>
            <w:r w:rsidR="00326428">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hideMark/>
          </w:tcPr>
          <w:p w14:paraId="68112C05"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1</w:t>
            </w:r>
          </w:p>
        </w:tc>
      </w:tr>
      <w:tr w:rsidR="008828B4" w:rsidRPr="00F36B06" w14:paraId="2A26B979" w14:textId="77777777" w:rsidTr="00211D4F">
        <w:tc>
          <w:tcPr>
            <w:tcW w:w="1980" w:type="dxa"/>
            <w:tcBorders>
              <w:top w:val="single" w:sz="4" w:space="0" w:color="auto"/>
              <w:left w:val="single" w:sz="4" w:space="0" w:color="auto"/>
              <w:bottom w:val="single" w:sz="4" w:space="0" w:color="auto"/>
              <w:right w:val="single" w:sz="4" w:space="0" w:color="auto"/>
            </w:tcBorders>
            <w:hideMark/>
          </w:tcPr>
          <w:p w14:paraId="2C061138" w14:textId="77777777" w:rsidR="00D426C8" w:rsidRPr="00F36B06" w:rsidRDefault="00D426C8" w:rsidP="00F31B75">
            <w:pPr>
              <w:jc w:val="both"/>
              <w:rPr>
                <w:rFonts w:ascii="Times New Roman" w:hAnsi="Times New Roman" w:cs="Times New Roman"/>
              </w:rPr>
            </w:pPr>
            <w:r w:rsidRPr="00F36B06">
              <w:rPr>
                <w:rFonts w:ascii="Times New Roman" w:hAnsi="Times New Roman" w:cs="Times New Roman"/>
              </w:rPr>
              <w:t>Piedziņa</w:t>
            </w:r>
          </w:p>
        </w:tc>
        <w:tc>
          <w:tcPr>
            <w:tcW w:w="1559" w:type="dxa"/>
            <w:tcBorders>
              <w:top w:val="single" w:sz="4" w:space="0" w:color="auto"/>
              <w:left w:val="single" w:sz="4" w:space="0" w:color="auto"/>
              <w:bottom w:val="single" w:sz="4" w:space="0" w:color="auto"/>
              <w:right w:val="single" w:sz="4" w:space="0" w:color="auto"/>
            </w:tcBorders>
            <w:hideMark/>
          </w:tcPr>
          <w:p w14:paraId="7FCF69AE"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11</w:t>
            </w:r>
          </w:p>
        </w:tc>
        <w:tc>
          <w:tcPr>
            <w:tcW w:w="2552" w:type="dxa"/>
            <w:tcBorders>
              <w:top w:val="single" w:sz="4" w:space="0" w:color="auto"/>
              <w:left w:val="single" w:sz="4" w:space="0" w:color="auto"/>
              <w:bottom w:val="single" w:sz="4" w:space="0" w:color="auto"/>
              <w:right w:val="single" w:sz="4" w:space="0" w:color="auto"/>
            </w:tcBorders>
            <w:hideMark/>
          </w:tcPr>
          <w:p w14:paraId="53163E55" w14:textId="3C650470" w:rsidR="00D426C8" w:rsidRPr="00F36B06" w:rsidRDefault="00D426C8" w:rsidP="00ED5FE7">
            <w:pPr>
              <w:jc w:val="center"/>
              <w:rPr>
                <w:rFonts w:ascii="Times New Roman" w:hAnsi="Times New Roman" w:cs="Times New Roman"/>
              </w:rPr>
            </w:pPr>
            <w:r w:rsidRPr="00F36B06">
              <w:rPr>
                <w:rFonts w:ascii="Times New Roman" w:hAnsi="Times New Roman" w:cs="Times New Roman"/>
              </w:rPr>
              <w:t>942</w:t>
            </w:r>
            <w:r w:rsidR="0098775B" w:rsidRPr="00F36B06">
              <w:rPr>
                <w:rFonts w:ascii="Times New Roman" w:hAnsi="Times New Roman" w:cs="Times New Roman"/>
              </w:rPr>
              <w:t> </w:t>
            </w:r>
            <w:r w:rsidRPr="00F36B06">
              <w:rPr>
                <w:rFonts w:ascii="Times New Roman" w:hAnsi="Times New Roman" w:cs="Times New Roman"/>
              </w:rPr>
              <w:t>429</w:t>
            </w:r>
          </w:p>
        </w:tc>
        <w:tc>
          <w:tcPr>
            <w:tcW w:w="1984" w:type="dxa"/>
            <w:tcBorders>
              <w:top w:val="single" w:sz="4" w:space="0" w:color="auto"/>
              <w:left w:val="single" w:sz="4" w:space="0" w:color="auto"/>
              <w:bottom w:val="single" w:sz="4" w:space="0" w:color="auto"/>
              <w:right w:val="single" w:sz="4" w:space="0" w:color="auto"/>
            </w:tcBorders>
            <w:hideMark/>
          </w:tcPr>
          <w:p w14:paraId="1762221E" w14:textId="461E73EE" w:rsidR="00D426C8" w:rsidRPr="00F36B06" w:rsidRDefault="00D426C8" w:rsidP="00ED5FE7">
            <w:pPr>
              <w:jc w:val="center"/>
              <w:rPr>
                <w:rFonts w:ascii="Times New Roman" w:hAnsi="Times New Roman" w:cs="Times New Roman"/>
              </w:rPr>
            </w:pPr>
            <w:r w:rsidRPr="00F36B06">
              <w:rPr>
                <w:rFonts w:ascii="Times New Roman" w:hAnsi="Times New Roman" w:cs="Times New Roman"/>
              </w:rPr>
              <w:t>223</w:t>
            </w:r>
            <w:r w:rsidR="0098775B" w:rsidRPr="00F36B06">
              <w:rPr>
                <w:rFonts w:ascii="Times New Roman" w:hAnsi="Times New Roman" w:cs="Times New Roman"/>
              </w:rPr>
              <w:t> </w:t>
            </w:r>
            <w:r w:rsidRPr="00F36B06">
              <w:rPr>
                <w:rFonts w:ascii="Times New Roman" w:hAnsi="Times New Roman" w:cs="Times New Roman"/>
              </w:rPr>
              <w:t>15</w:t>
            </w:r>
            <w:r w:rsidR="00D30EE7">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hideMark/>
          </w:tcPr>
          <w:p w14:paraId="2AC38735"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24</w:t>
            </w:r>
          </w:p>
        </w:tc>
      </w:tr>
      <w:tr w:rsidR="008828B4" w:rsidRPr="00F36B06" w14:paraId="0912B597" w14:textId="77777777" w:rsidTr="00211D4F">
        <w:tc>
          <w:tcPr>
            <w:tcW w:w="1980" w:type="dxa"/>
            <w:tcBorders>
              <w:top w:val="single" w:sz="4" w:space="0" w:color="auto"/>
              <w:left w:val="single" w:sz="4" w:space="0" w:color="auto"/>
              <w:bottom w:val="single" w:sz="4" w:space="0" w:color="auto"/>
              <w:right w:val="single" w:sz="4" w:space="0" w:color="auto"/>
            </w:tcBorders>
            <w:hideMark/>
          </w:tcPr>
          <w:p w14:paraId="2AA619CB" w14:textId="77777777" w:rsidR="00D426C8" w:rsidRPr="00F36B06" w:rsidRDefault="00D426C8" w:rsidP="00F31B75">
            <w:pPr>
              <w:jc w:val="both"/>
              <w:rPr>
                <w:rFonts w:ascii="Times New Roman" w:hAnsi="Times New Roman" w:cs="Times New Roman"/>
              </w:rPr>
            </w:pPr>
            <w:r w:rsidRPr="00F36B06">
              <w:rPr>
                <w:rFonts w:ascii="Times New Roman" w:hAnsi="Times New Roman" w:cs="Times New Roman"/>
              </w:rPr>
              <w:t>Piedziņa + Cesija</w:t>
            </w:r>
          </w:p>
        </w:tc>
        <w:tc>
          <w:tcPr>
            <w:tcW w:w="1559" w:type="dxa"/>
            <w:tcBorders>
              <w:top w:val="single" w:sz="4" w:space="0" w:color="auto"/>
              <w:left w:val="single" w:sz="4" w:space="0" w:color="auto"/>
              <w:bottom w:val="single" w:sz="4" w:space="0" w:color="auto"/>
              <w:right w:val="single" w:sz="4" w:space="0" w:color="auto"/>
            </w:tcBorders>
            <w:hideMark/>
          </w:tcPr>
          <w:p w14:paraId="41385B7C"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4</w:t>
            </w:r>
          </w:p>
        </w:tc>
        <w:tc>
          <w:tcPr>
            <w:tcW w:w="2552" w:type="dxa"/>
            <w:tcBorders>
              <w:top w:val="single" w:sz="4" w:space="0" w:color="auto"/>
              <w:left w:val="single" w:sz="4" w:space="0" w:color="auto"/>
              <w:bottom w:val="single" w:sz="4" w:space="0" w:color="auto"/>
              <w:right w:val="single" w:sz="4" w:space="0" w:color="auto"/>
            </w:tcBorders>
            <w:hideMark/>
          </w:tcPr>
          <w:p w14:paraId="2A1A7C9D" w14:textId="341D4E40" w:rsidR="00D426C8" w:rsidRPr="00F36B06" w:rsidRDefault="00D426C8" w:rsidP="00ED5FE7">
            <w:pPr>
              <w:jc w:val="center"/>
              <w:rPr>
                <w:rFonts w:ascii="Times New Roman" w:hAnsi="Times New Roman" w:cs="Times New Roman"/>
              </w:rPr>
            </w:pPr>
            <w:r w:rsidRPr="00F36B06">
              <w:rPr>
                <w:rFonts w:ascii="Times New Roman" w:hAnsi="Times New Roman" w:cs="Times New Roman"/>
              </w:rPr>
              <w:t>999</w:t>
            </w:r>
            <w:r w:rsidR="0098775B" w:rsidRPr="00F36B06">
              <w:rPr>
                <w:rFonts w:ascii="Times New Roman" w:hAnsi="Times New Roman" w:cs="Times New Roman"/>
              </w:rPr>
              <w:t> </w:t>
            </w:r>
            <w:r w:rsidRPr="00F36B06">
              <w:rPr>
                <w:rFonts w:ascii="Times New Roman" w:hAnsi="Times New Roman" w:cs="Times New Roman"/>
              </w:rPr>
              <w:t>932</w:t>
            </w:r>
          </w:p>
        </w:tc>
        <w:tc>
          <w:tcPr>
            <w:tcW w:w="1984" w:type="dxa"/>
            <w:tcBorders>
              <w:top w:val="single" w:sz="4" w:space="0" w:color="auto"/>
              <w:left w:val="single" w:sz="4" w:space="0" w:color="auto"/>
              <w:bottom w:val="single" w:sz="4" w:space="0" w:color="auto"/>
              <w:right w:val="single" w:sz="4" w:space="0" w:color="auto"/>
            </w:tcBorders>
            <w:hideMark/>
          </w:tcPr>
          <w:p w14:paraId="552B6156" w14:textId="1AB5D3BD" w:rsidR="00D426C8" w:rsidRPr="00F36B06" w:rsidRDefault="00D426C8" w:rsidP="00ED5FE7">
            <w:pPr>
              <w:jc w:val="center"/>
              <w:rPr>
                <w:rFonts w:ascii="Times New Roman" w:hAnsi="Times New Roman" w:cs="Times New Roman"/>
              </w:rPr>
            </w:pPr>
            <w:r w:rsidRPr="00F36B06">
              <w:rPr>
                <w:rFonts w:ascii="Times New Roman" w:hAnsi="Times New Roman" w:cs="Times New Roman"/>
              </w:rPr>
              <w:t>374</w:t>
            </w:r>
            <w:r w:rsidR="0098775B" w:rsidRPr="00F36B06">
              <w:rPr>
                <w:rFonts w:ascii="Times New Roman" w:hAnsi="Times New Roman" w:cs="Times New Roman"/>
              </w:rPr>
              <w:t> </w:t>
            </w:r>
            <w:r w:rsidRPr="00F36B06">
              <w:rPr>
                <w:rFonts w:ascii="Times New Roman" w:hAnsi="Times New Roman" w:cs="Times New Roman"/>
              </w:rPr>
              <w:t>352</w:t>
            </w:r>
          </w:p>
        </w:tc>
        <w:tc>
          <w:tcPr>
            <w:tcW w:w="1560" w:type="dxa"/>
            <w:tcBorders>
              <w:top w:val="single" w:sz="4" w:space="0" w:color="auto"/>
              <w:left w:val="single" w:sz="4" w:space="0" w:color="auto"/>
              <w:bottom w:val="single" w:sz="4" w:space="0" w:color="auto"/>
              <w:right w:val="single" w:sz="4" w:space="0" w:color="auto"/>
            </w:tcBorders>
            <w:hideMark/>
          </w:tcPr>
          <w:p w14:paraId="7C41F2F6" w14:textId="77777777" w:rsidR="00D426C8" w:rsidRPr="00F36B06" w:rsidRDefault="00D426C8" w:rsidP="00ED5FE7">
            <w:pPr>
              <w:jc w:val="center"/>
              <w:rPr>
                <w:rFonts w:ascii="Times New Roman" w:hAnsi="Times New Roman" w:cs="Times New Roman"/>
              </w:rPr>
            </w:pPr>
            <w:r w:rsidRPr="00F36B06">
              <w:rPr>
                <w:rFonts w:ascii="Times New Roman" w:hAnsi="Times New Roman" w:cs="Times New Roman"/>
              </w:rPr>
              <w:t>37</w:t>
            </w:r>
          </w:p>
        </w:tc>
      </w:tr>
    </w:tbl>
    <w:p w14:paraId="4F588C11"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5BE18023"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41593FAB"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63EA81B0"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239AA426"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2AF1E669"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1A09DC42"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2BACF661"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0B36ECE8"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762B229C"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5B077BD8"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78DFE131"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026C06E5"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1833EEBC"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77D791BD" w14:textId="77777777" w:rsidR="00D370C9" w:rsidRPr="00F36B06" w:rsidRDefault="00D370C9" w:rsidP="00F5654B">
      <w:pPr>
        <w:pStyle w:val="ListParagraph"/>
        <w:spacing w:after="0" w:line="240" w:lineRule="auto"/>
        <w:ind w:left="0" w:firstLine="720"/>
        <w:jc w:val="right"/>
        <w:rPr>
          <w:rFonts w:ascii="Times New Roman" w:hAnsi="Times New Roman" w:cs="Times New Roman"/>
          <w:i/>
          <w:iCs/>
        </w:rPr>
      </w:pPr>
    </w:p>
    <w:p w14:paraId="3A4A62DB" w14:textId="77777777" w:rsidR="00975855" w:rsidRPr="00F36B06" w:rsidRDefault="00975855" w:rsidP="00F5654B">
      <w:pPr>
        <w:pStyle w:val="ListParagraph"/>
        <w:spacing w:after="0" w:line="240" w:lineRule="auto"/>
        <w:ind w:left="0" w:firstLine="720"/>
        <w:jc w:val="right"/>
        <w:rPr>
          <w:rFonts w:ascii="Times New Roman" w:hAnsi="Times New Roman" w:cs="Times New Roman"/>
          <w:i/>
          <w:iCs/>
        </w:rPr>
      </w:pPr>
    </w:p>
    <w:p w14:paraId="545FCE31"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20266CB0"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779C896E"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08DBA763"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407DD883"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78257AA7"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20E8D136" w14:textId="77777777" w:rsidR="00225F11" w:rsidRDefault="00225F11" w:rsidP="00F5654B">
      <w:pPr>
        <w:pStyle w:val="ListParagraph"/>
        <w:spacing w:after="0" w:line="240" w:lineRule="auto"/>
        <w:ind w:left="0" w:firstLine="720"/>
        <w:jc w:val="right"/>
        <w:rPr>
          <w:rFonts w:ascii="Times New Roman" w:hAnsi="Times New Roman" w:cs="Times New Roman"/>
          <w:i/>
          <w:iCs/>
        </w:rPr>
      </w:pPr>
    </w:p>
    <w:p w14:paraId="7941CECD" w14:textId="3476AD3D" w:rsidR="00F5654B" w:rsidRPr="00F36B06" w:rsidRDefault="00225F11" w:rsidP="00F5654B">
      <w:pPr>
        <w:pStyle w:val="ListParagraph"/>
        <w:spacing w:after="0" w:line="240" w:lineRule="auto"/>
        <w:ind w:left="0" w:firstLine="720"/>
        <w:jc w:val="right"/>
        <w:rPr>
          <w:rFonts w:ascii="Times New Roman" w:hAnsi="Times New Roman" w:cs="Times New Roman"/>
          <w:i/>
          <w:iCs/>
        </w:rPr>
      </w:pPr>
      <w:r>
        <w:rPr>
          <w:rFonts w:ascii="Times New Roman" w:hAnsi="Times New Roman" w:cs="Times New Roman"/>
          <w:i/>
          <w:iCs/>
        </w:rPr>
        <w:lastRenderedPageBreak/>
        <w:t>5</w:t>
      </w:r>
      <w:r w:rsidR="009850F0" w:rsidRPr="00F36B06">
        <w:rPr>
          <w:rFonts w:ascii="Times New Roman" w:hAnsi="Times New Roman" w:cs="Times New Roman"/>
          <w:i/>
          <w:iCs/>
        </w:rPr>
        <w:t>. a</w:t>
      </w:r>
      <w:r w:rsidR="00F5654B" w:rsidRPr="00F36B06">
        <w:rPr>
          <w:rFonts w:ascii="Times New Roman" w:hAnsi="Times New Roman" w:cs="Times New Roman"/>
          <w:i/>
          <w:iCs/>
        </w:rPr>
        <w:t>ttēls</w:t>
      </w:r>
    </w:p>
    <w:p w14:paraId="3FF04649" w14:textId="66D1E9AC" w:rsidR="00D06277" w:rsidRPr="00F36B06" w:rsidRDefault="000626F9" w:rsidP="00D06277">
      <w:pPr>
        <w:spacing w:after="0" w:line="240" w:lineRule="auto"/>
        <w:jc w:val="center"/>
        <w:rPr>
          <w:rFonts w:ascii="Times New Roman" w:hAnsi="Times New Roman" w:cs="Times New Roman"/>
          <w:b/>
          <w:bCs/>
        </w:rPr>
      </w:pPr>
      <w:r w:rsidRPr="00F36B06">
        <w:rPr>
          <w:rFonts w:ascii="Times New Roman" w:hAnsi="Times New Roman" w:cs="Times New Roman"/>
          <w:b/>
          <w:bCs/>
        </w:rPr>
        <w:t>Piespriesto un a</w:t>
      </w:r>
      <w:r w:rsidR="00D06277" w:rsidRPr="00F36B06">
        <w:rPr>
          <w:rFonts w:ascii="Times New Roman" w:hAnsi="Times New Roman" w:cs="Times New Roman"/>
          <w:b/>
          <w:bCs/>
        </w:rPr>
        <w:t xml:space="preserve">tgūto summu sadalījums pēc </w:t>
      </w:r>
      <w:r w:rsidRPr="00F36B06">
        <w:rPr>
          <w:rFonts w:ascii="Times New Roman" w:hAnsi="Times New Roman" w:cs="Times New Roman"/>
          <w:b/>
          <w:bCs/>
        </w:rPr>
        <w:t xml:space="preserve">to </w:t>
      </w:r>
      <w:r w:rsidR="00D06277" w:rsidRPr="00F36B06">
        <w:rPr>
          <w:rFonts w:ascii="Times New Roman" w:hAnsi="Times New Roman" w:cs="Times New Roman"/>
          <w:b/>
          <w:bCs/>
        </w:rPr>
        <w:t>atgūšanas veida</w:t>
      </w:r>
    </w:p>
    <w:p w14:paraId="4DB550F9" w14:textId="77777777" w:rsidR="00D06277" w:rsidRPr="00F36B06" w:rsidRDefault="00D06277" w:rsidP="00F5654B">
      <w:pPr>
        <w:pStyle w:val="ListParagraph"/>
        <w:spacing w:after="0" w:line="240" w:lineRule="auto"/>
        <w:ind w:left="0" w:firstLine="720"/>
        <w:jc w:val="right"/>
        <w:rPr>
          <w:rFonts w:ascii="Times New Roman" w:hAnsi="Times New Roman" w:cs="Times New Roman"/>
          <w:i/>
          <w:iCs/>
        </w:rPr>
      </w:pPr>
    </w:p>
    <w:p w14:paraId="717E4703" w14:textId="5578E9A2" w:rsidR="00F5654B" w:rsidRPr="00F36B06" w:rsidRDefault="00764BF0" w:rsidP="00D340A3">
      <w:pPr>
        <w:spacing w:after="0" w:line="240" w:lineRule="auto"/>
        <w:jc w:val="center"/>
        <w:rPr>
          <w:rFonts w:ascii="Times New Roman" w:hAnsi="Times New Roman" w:cs="Times New Roman"/>
          <w:b/>
          <w:bCs/>
        </w:rPr>
      </w:pPr>
      <w:r w:rsidRPr="00F36B06">
        <w:rPr>
          <w:noProof/>
        </w:rPr>
        <w:drawing>
          <wp:inline distT="0" distB="0" distL="0" distR="0" wp14:anchorId="1AA7CD30" wp14:editId="3071E994">
            <wp:extent cx="5196840" cy="2834640"/>
            <wp:effectExtent l="0" t="0" r="3810" b="3810"/>
            <wp:docPr id="1269666942" name="Diagram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77256B" w14:textId="56B986AD" w:rsidR="00F5654B" w:rsidRPr="00F36B06" w:rsidRDefault="00F5654B" w:rsidP="00686F0C">
      <w:pPr>
        <w:spacing w:after="0" w:line="240" w:lineRule="auto"/>
        <w:jc w:val="center"/>
        <w:rPr>
          <w:rFonts w:ascii="Times New Roman" w:hAnsi="Times New Roman" w:cs="Times New Roman"/>
        </w:rPr>
      </w:pPr>
    </w:p>
    <w:p w14:paraId="38BC387B" w14:textId="16B65769" w:rsidR="00356D95" w:rsidRPr="00F36B06" w:rsidRDefault="00225F11" w:rsidP="00356D95">
      <w:pPr>
        <w:pStyle w:val="ListParagraph"/>
        <w:spacing w:after="0" w:line="240" w:lineRule="auto"/>
        <w:ind w:left="0" w:firstLine="720"/>
        <w:jc w:val="right"/>
        <w:rPr>
          <w:rFonts w:ascii="Times New Roman" w:hAnsi="Times New Roman" w:cs="Times New Roman"/>
          <w:i/>
          <w:iCs/>
        </w:rPr>
      </w:pPr>
      <w:bookmarkStart w:id="8" w:name="_Hlk188021718"/>
      <w:r>
        <w:rPr>
          <w:rFonts w:ascii="Times New Roman" w:hAnsi="Times New Roman" w:cs="Times New Roman"/>
          <w:i/>
          <w:iCs/>
        </w:rPr>
        <w:t>6</w:t>
      </w:r>
      <w:r w:rsidR="00234911" w:rsidRPr="00F36B06">
        <w:rPr>
          <w:rFonts w:ascii="Times New Roman" w:hAnsi="Times New Roman" w:cs="Times New Roman"/>
          <w:i/>
          <w:iCs/>
        </w:rPr>
        <w:t>. a</w:t>
      </w:r>
      <w:r w:rsidR="00356D95" w:rsidRPr="00F36B06">
        <w:rPr>
          <w:rFonts w:ascii="Times New Roman" w:hAnsi="Times New Roman" w:cs="Times New Roman"/>
          <w:i/>
          <w:iCs/>
        </w:rPr>
        <w:t>ttēls</w:t>
      </w:r>
    </w:p>
    <w:p w14:paraId="676B6261" w14:textId="0024A482" w:rsidR="00846FFC" w:rsidRPr="00F36B06" w:rsidRDefault="00B371D3" w:rsidP="00846FFC">
      <w:pPr>
        <w:spacing w:after="0" w:line="240" w:lineRule="auto"/>
        <w:jc w:val="center"/>
        <w:rPr>
          <w:rFonts w:ascii="Times New Roman" w:hAnsi="Times New Roman" w:cs="Times New Roman"/>
          <w:b/>
          <w:bCs/>
        </w:rPr>
      </w:pPr>
      <w:r w:rsidRPr="00F36B06">
        <w:rPr>
          <w:rFonts w:ascii="Times New Roman" w:hAnsi="Times New Roman" w:cs="Times New Roman"/>
          <w:b/>
          <w:bCs/>
        </w:rPr>
        <w:t>T</w:t>
      </w:r>
      <w:r w:rsidR="00C80DD7" w:rsidRPr="00F36B06">
        <w:rPr>
          <w:rFonts w:ascii="Times New Roman" w:hAnsi="Times New Roman" w:cs="Times New Roman"/>
          <w:b/>
          <w:bCs/>
        </w:rPr>
        <w:t>iesas piespriesto</w:t>
      </w:r>
      <w:r w:rsidRPr="00F36B06">
        <w:rPr>
          <w:rFonts w:ascii="Times New Roman" w:hAnsi="Times New Roman" w:cs="Times New Roman"/>
          <w:b/>
          <w:bCs/>
        </w:rPr>
        <w:t xml:space="preserve"> summu </w:t>
      </w:r>
      <w:r w:rsidR="00FA4B64" w:rsidRPr="00F36B06">
        <w:rPr>
          <w:rFonts w:ascii="Times New Roman" w:hAnsi="Times New Roman" w:cs="Times New Roman"/>
          <w:b/>
          <w:bCs/>
        </w:rPr>
        <w:t>atgūšanai izmantotie mehānismi pēc to veida</w:t>
      </w:r>
    </w:p>
    <w:p w14:paraId="59753629" w14:textId="77777777" w:rsidR="00F249A8" w:rsidRPr="00F36B06" w:rsidRDefault="00F249A8" w:rsidP="00846FFC">
      <w:pPr>
        <w:spacing w:after="0" w:line="240" w:lineRule="auto"/>
        <w:jc w:val="center"/>
        <w:rPr>
          <w:rFonts w:ascii="Times New Roman" w:hAnsi="Times New Roman" w:cs="Times New Roman"/>
          <w:b/>
          <w:bCs/>
        </w:rPr>
      </w:pPr>
    </w:p>
    <w:p w14:paraId="1DAA1EDF" w14:textId="68DE406F" w:rsidR="00846FFC" w:rsidRPr="00F36B06" w:rsidRDefault="00F249A8" w:rsidP="0079741B">
      <w:pPr>
        <w:spacing w:after="0" w:line="240" w:lineRule="auto"/>
        <w:jc w:val="center"/>
        <w:rPr>
          <w:rFonts w:ascii="Times New Roman" w:hAnsi="Times New Roman" w:cs="Times New Roman"/>
          <w:b/>
          <w:bCs/>
        </w:rPr>
      </w:pPr>
      <w:r w:rsidRPr="00F36B06">
        <w:rPr>
          <w:rFonts w:ascii="Times New Roman" w:hAnsi="Times New Roman" w:cs="Times New Roman"/>
          <w:b/>
          <w:bCs/>
          <w:noProof/>
        </w:rPr>
        <w:drawing>
          <wp:inline distT="0" distB="0" distL="0" distR="0" wp14:anchorId="315ADDBB" wp14:editId="37E117DF">
            <wp:extent cx="4892040" cy="2194560"/>
            <wp:effectExtent l="0" t="0" r="3810" b="15240"/>
            <wp:docPr id="1172100170"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6F1F9D" w14:textId="2DA80A3E" w:rsidR="00846FFC" w:rsidRPr="00F36B06" w:rsidRDefault="00846FFC" w:rsidP="00846FFC">
      <w:pPr>
        <w:spacing w:after="0" w:line="240" w:lineRule="auto"/>
        <w:ind w:firstLine="720"/>
        <w:jc w:val="both"/>
        <w:rPr>
          <w:rFonts w:ascii="Times New Roman" w:hAnsi="Times New Roman" w:cs="Times New Roman"/>
        </w:rPr>
      </w:pPr>
    </w:p>
    <w:bookmarkEnd w:id="8"/>
    <w:p w14:paraId="4985B595" w14:textId="08CB6DC6" w:rsidR="007E7434" w:rsidRPr="00F36B06" w:rsidRDefault="00225F11" w:rsidP="007E7434">
      <w:pPr>
        <w:pStyle w:val="ListParagraph"/>
        <w:spacing w:after="0" w:line="240" w:lineRule="auto"/>
        <w:ind w:left="0" w:firstLine="720"/>
        <w:jc w:val="right"/>
        <w:rPr>
          <w:rFonts w:ascii="Times New Roman" w:hAnsi="Times New Roman" w:cs="Times New Roman"/>
          <w:i/>
          <w:iCs/>
        </w:rPr>
      </w:pPr>
      <w:r>
        <w:rPr>
          <w:rFonts w:ascii="Times New Roman" w:hAnsi="Times New Roman" w:cs="Times New Roman"/>
          <w:i/>
          <w:iCs/>
        </w:rPr>
        <w:t>7</w:t>
      </w:r>
      <w:r w:rsidR="00793E91" w:rsidRPr="00F36B06">
        <w:rPr>
          <w:rFonts w:ascii="Times New Roman" w:hAnsi="Times New Roman" w:cs="Times New Roman"/>
          <w:i/>
          <w:iCs/>
        </w:rPr>
        <w:t>. a</w:t>
      </w:r>
      <w:r w:rsidR="007E7434" w:rsidRPr="00F36B06">
        <w:rPr>
          <w:rFonts w:ascii="Times New Roman" w:hAnsi="Times New Roman" w:cs="Times New Roman"/>
          <w:i/>
          <w:iCs/>
        </w:rPr>
        <w:t>ttēls</w:t>
      </w:r>
    </w:p>
    <w:p w14:paraId="2993EA53" w14:textId="7BD6F17F" w:rsidR="007E7434" w:rsidRPr="00F36B06" w:rsidRDefault="0034650C" w:rsidP="007E7434">
      <w:pPr>
        <w:spacing w:after="0" w:line="240" w:lineRule="auto"/>
        <w:jc w:val="center"/>
        <w:rPr>
          <w:rFonts w:ascii="Times New Roman" w:hAnsi="Times New Roman" w:cs="Times New Roman"/>
          <w:b/>
          <w:bCs/>
        </w:rPr>
      </w:pPr>
      <w:r w:rsidRPr="00F36B06">
        <w:rPr>
          <w:rFonts w:ascii="Times New Roman" w:hAnsi="Times New Roman" w:cs="Times New Roman"/>
          <w:b/>
          <w:bCs/>
        </w:rPr>
        <w:t>A</w:t>
      </w:r>
      <w:r w:rsidR="00600993" w:rsidRPr="00F36B06">
        <w:rPr>
          <w:rFonts w:ascii="Times New Roman" w:hAnsi="Times New Roman" w:cs="Times New Roman"/>
          <w:b/>
          <w:bCs/>
        </w:rPr>
        <w:t>tgū</w:t>
      </w:r>
      <w:r w:rsidR="00982E58" w:rsidRPr="00F36B06">
        <w:rPr>
          <w:rFonts w:ascii="Times New Roman" w:hAnsi="Times New Roman" w:cs="Times New Roman"/>
          <w:b/>
          <w:bCs/>
        </w:rPr>
        <w:t>tās</w:t>
      </w:r>
      <w:r w:rsidR="00600993" w:rsidRPr="00F36B06">
        <w:rPr>
          <w:rFonts w:ascii="Times New Roman" w:hAnsi="Times New Roman" w:cs="Times New Roman"/>
          <w:b/>
          <w:bCs/>
        </w:rPr>
        <w:t xml:space="preserve"> summ</w:t>
      </w:r>
      <w:r w:rsidR="00982E58" w:rsidRPr="00F36B06">
        <w:rPr>
          <w:rFonts w:ascii="Times New Roman" w:hAnsi="Times New Roman" w:cs="Times New Roman"/>
          <w:b/>
          <w:bCs/>
        </w:rPr>
        <w:t xml:space="preserve">as </w:t>
      </w:r>
      <w:r w:rsidR="00084BD1" w:rsidRPr="00F36B06">
        <w:rPr>
          <w:rFonts w:ascii="Times New Roman" w:hAnsi="Times New Roman" w:cs="Times New Roman"/>
          <w:b/>
          <w:bCs/>
        </w:rPr>
        <w:t>sadalījums</w:t>
      </w:r>
      <w:r w:rsidR="00DB587F" w:rsidRPr="00F36B06">
        <w:rPr>
          <w:rFonts w:ascii="Times New Roman" w:hAnsi="Times New Roman" w:cs="Times New Roman"/>
          <w:b/>
          <w:bCs/>
        </w:rPr>
        <w:t xml:space="preserve"> </w:t>
      </w:r>
      <w:r w:rsidR="00C25A60" w:rsidRPr="00F36B06">
        <w:rPr>
          <w:rFonts w:ascii="Times New Roman" w:hAnsi="Times New Roman" w:cs="Times New Roman"/>
          <w:b/>
          <w:bCs/>
        </w:rPr>
        <w:t xml:space="preserve">pēc </w:t>
      </w:r>
      <w:bookmarkStart w:id="9" w:name="_Hlk188021785"/>
      <w:r w:rsidR="00C25A60" w:rsidRPr="00F36B06">
        <w:rPr>
          <w:rFonts w:ascii="Times New Roman" w:hAnsi="Times New Roman" w:cs="Times New Roman"/>
          <w:b/>
          <w:bCs/>
        </w:rPr>
        <w:t>mehānisma, kas izmantots tiesas piespriestās summas atgūšanai</w:t>
      </w:r>
    </w:p>
    <w:bookmarkEnd w:id="9"/>
    <w:p w14:paraId="2A91476C" w14:textId="203E7519" w:rsidR="007E7434" w:rsidRPr="00F36B06" w:rsidRDefault="00386602" w:rsidP="00386602">
      <w:pPr>
        <w:spacing w:after="0" w:line="240" w:lineRule="auto"/>
        <w:jc w:val="center"/>
        <w:rPr>
          <w:rFonts w:ascii="Times New Roman" w:hAnsi="Times New Roman" w:cs="Times New Roman"/>
          <w:b/>
          <w:bCs/>
        </w:rPr>
      </w:pPr>
      <w:r w:rsidRPr="00F36B06">
        <w:rPr>
          <w:rFonts w:ascii="Times New Roman" w:hAnsi="Times New Roman" w:cs="Times New Roman"/>
          <w:b/>
          <w:bCs/>
          <w:noProof/>
        </w:rPr>
        <w:drawing>
          <wp:inline distT="0" distB="0" distL="0" distR="0" wp14:anchorId="171F0DDD" wp14:editId="6D0B3A8D">
            <wp:extent cx="5013960" cy="2339340"/>
            <wp:effectExtent l="0" t="0" r="15240" b="3810"/>
            <wp:docPr id="57591738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033A74" w14:textId="5DB83422" w:rsidR="00FE7057" w:rsidRPr="00F36B06" w:rsidRDefault="002D35FD" w:rsidP="00FE7057">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lastRenderedPageBreak/>
        <w:t xml:space="preserve">No </w:t>
      </w:r>
      <w:r w:rsidR="00FA437A" w:rsidRPr="00F36B06">
        <w:rPr>
          <w:rFonts w:ascii="Times New Roman" w:hAnsi="Times New Roman" w:cs="Times New Roman"/>
        </w:rPr>
        <w:t xml:space="preserve">pētījuma rezultātā iegūtajiem datiem </w:t>
      </w:r>
      <w:r w:rsidR="005B2840" w:rsidRPr="00F36B06">
        <w:rPr>
          <w:rFonts w:ascii="Times New Roman" w:hAnsi="Times New Roman" w:cs="Times New Roman"/>
        </w:rPr>
        <w:t xml:space="preserve">var </w:t>
      </w:r>
      <w:r w:rsidR="00F80374" w:rsidRPr="00F36B06">
        <w:rPr>
          <w:rFonts w:ascii="Times New Roman" w:hAnsi="Times New Roman" w:cs="Times New Roman"/>
        </w:rPr>
        <w:t>konstatēt</w:t>
      </w:r>
      <w:r w:rsidR="005B2840" w:rsidRPr="00F36B06">
        <w:rPr>
          <w:rFonts w:ascii="Times New Roman" w:hAnsi="Times New Roman" w:cs="Times New Roman"/>
        </w:rPr>
        <w:t>, ka</w:t>
      </w:r>
      <w:r w:rsidR="00703338" w:rsidRPr="00F36B06">
        <w:rPr>
          <w:rFonts w:ascii="Times New Roman" w:hAnsi="Times New Roman" w:cs="Times New Roman"/>
        </w:rPr>
        <w:t xml:space="preserve"> </w:t>
      </w:r>
      <w:r w:rsidR="00A07D11" w:rsidRPr="00F36B06">
        <w:rPr>
          <w:rFonts w:ascii="Times New Roman" w:hAnsi="Times New Roman" w:cs="Times New Roman"/>
        </w:rPr>
        <w:t>liel</w:t>
      </w:r>
      <w:r w:rsidR="00815375" w:rsidRPr="00F36B06">
        <w:rPr>
          <w:rFonts w:ascii="Times New Roman" w:hAnsi="Times New Roman" w:cs="Times New Roman"/>
        </w:rPr>
        <w:t>ākā daļa no kopējās atgūtās</w:t>
      </w:r>
      <w:r w:rsidR="00703338" w:rsidRPr="00F36B06">
        <w:rPr>
          <w:rFonts w:ascii="Times New Roman" w:hAnsi="Times New Roman" w:cs="Times New Roman"/>
        </w:rPr>
        <w:t xml:space="preserve"> summa</w:t>
      </w:r>
      <w:r w:rsidR="00815375" w:rsidRPr="00F36B06">
        <w:rPr>
          <w:rFonts w:ascii="Times New Roman" w:hAnsi="Times New Roman" w:cs="Times New Roman"/>
        </w:rPr>
        <w:t xml:space="preserve">s </w:t>
      </w:r>
      <w:r w:rsidR="003D10C3" w:rsidRPr="00F36B06">
        <w:rPr>
          <w:rFonts w:ascii="Times New Roman" w:hAnsi="Times New Roman" w:cs="Times New Roman"/>
        </w:rPr>
        <w:t>(570</w:t>
      </w:r>
      <w:r w:rsidR="00C935B6" w:rsidRPr="00F36B06">
        <w:rPr>
          <w:rFonts w:ascii="Times New Roman" w:hAnsi="Times New Roman" w:cs="Times New Roman"/>
        </w:rPr>
        <w:t> </w:t>
      </w:r>
      <w:r w:rsidR="003D10C3" w:rsidRPr="00F36B06">
        <w:rPr>
          <w:rFonts w:ascii="Times New Roman" w:hAnsi="Times New Roman" w:cs="Times New Roman"/>
        </w:rPr>
        <w:t>508</w:t>
      </w:r>
      <w:r w:rsidR="00F74108" w:rsidRPr="00F36B06">
        <w:rPr>
          <w:rFonts w:ascii="Times New Roman" w:hAnsi="Times New Roman" w:cs="Times New Roman"/>
        </w:rPr>
        <w:t> </w:t>
      </w:r>
      <w:proofErr w:type="spellStart"/>
      <w:r w:rsidR="003D10C3" w:rsidRPr="00F36B06">
        <w:rPr>
          <w:rFonts w:ascii="Times New Roman" w:hAnsi="Times New Roman" w:cs="Times New Roman"/>
          <w:i/>
          <w:iCs/>
        </w:rPr>
        <w:t>e</w:t>
      </w:r>
      <w:r w:rsidR="00C935B6" w:rsidRPr="00F36B06">
        <w:rPr>
          <w:rFonts w:ascii="Times New Roman" w:hAnsi="Times New Roman" w:cs="Times New Roman"/>
          <w:i/>
          <w:iCs/>
        </w:rPr>
        <w:t>uro</w:t>
      </w:r>
      <w:proofErr w:type="spellEnd"/>
      <w:r w:rsidR="00C935B6" w:rsidRPr="00F36B06">
        <w:rPr>
          <w:rFonts w:ascii="Times New Roman" w:hAnsi="Times New Roman" w:cs="Times New Roman"/>
        </w:rPr>
        <w:t xml:space="preserve">) </w:t>
      </w:r>
      <w:r w:rsidR="00815375" w:rsidRPr="00F36B06">
        <w:rPr>
          <w:rFonts w:ascii="Times New Roman" w:hAnsi="Times New Roman" w:cs="Times New Roman"/>
        </w:rPr>
        <w:t xml:space="preserve">ir </w:t>
      </w:r>
      <w:r w:rsidR="00D956A3" w:rsidRPr="00F36B06">
        <w:rPr>
          <w:rFonts w:ascii="Times New Roman" w:hAnsi="Times New Roman" w:cs="Times New Roman"/>
        </w:rPr>
        <w:t xml:space="preserve">atgūta </w:t>
      </w:r>
      <w:r w:rsidR="009E5FD8" w:rsidRPr="00F36B06">
        <w:rPr>
          <w:rFonts w:ascii="Times New Roman" w:hAnsi="Times New Roman" w:cs="Times New Roman"/>
        </w:rPr>
        <w:t>gadījumos, kad piedziņa</w:t>
      </w:r>
      <w:r w:rsidR="00D956A3" w:rsidRPr="00F36B06">
        <w:rPr>
          <w:rFonts w:ascii="Times New Roman" w:hAnsi="Times New Roman" w:cs="Times New Roman"/>
        </w:rPr>
        <w:t xml:space="preserve"> </w:t>
      </w:r>
      <w:r w:rsidR="009E5FD8" w:rsidRPr="00F36B06">
        <w:rPr>
          <w:rFonts w:ascii="Times New Roman" w:hAnsi="Times New Roman" w:cs="Times New Roman"/>
        </w:rPr>
        <w:t>ir bijusi iespējama vismaz daļēji</w:t>
      </w:r>
      <w:r w:rsidR="003607C3" w:rsidRPr="00F36B06">
        <w:rPr>
          <w:rFonts w:ascii="Times New Roman" w:hAnsi="Times New Roman" w:cs="Times New Roman"/>
        </w:rPr>
        <w:t xml:space="preserve"> </w:t>
      </w:r>
      <w:r w:rsidR="001878FF" w:rsidRPr="00F36B06">
        <w:rPr>
          <w:rFonts w:ascii="Times New Roman" w:hAnsi="Times New Roman" w:cs="Times New Roman"/>
        </w:rPr>
        <w:t>– debitoram ir biju</w:t>
      </w:r>
      <w:r w:rsidR="00A157D8" w:rsidRPr="00F36B06">
        <w:rPr>
          <w:rFonts w:ascii="Times New Roman" w:hAnsi="Times New Roman" w:cs="Times New Roman"/>
        </w:rPr>
        <w:t>si</w:t>
      </w:r>
      <w:r w:rsidR="001878FF" w:rsidRPr="00F36B06">
        <w:rPr>
          <w:rFonts w:ascii="Times New Roman" w:hAnsi="Times New Roman" w:cs="Times New Roman"/>
        </w:rPr>
        <w:t xml:space="preserve"> </w:t>
      </w:r>
      <w:r w:rsidR="00445E17" w:rsidRPr="00F36B06">
        <w:rPr>
          <w:rFonts w:ascii="Times New Roman" w:hAnsi="Times New Roman" w:cs="Times New Roman"/>
        </w:rPr>
        <w:t xml:space="preserve">manta un/vai </w:t>
      </w:r>
      <w:r w:rsidR="00A157D8" w:rsidRPr="00F36B06">
        <w:rPr>
          <w:rFonts w:ascii="Times New Roman" w:hAnsi="Times New Roman" w:cs="Times New Roman"/>
        </w:rPr>
        <w:t>ienākumi</w:t>
      </w:r>
      <w:r w:rsidR="009E5FD8" w:rsidRPr="00F36B06">
        <w:rPr>
          <w:rFonts w:ascii="Times New Roman" w:hAnsi="Times New Roman" w:cs="Times New Roman"/>
        </w:rPr>
        <w:t>.</w:t>
      </w:r>
      <w:r w:rsidR="00582FAE" w:rsidRPr="00F36B06">
        <w:rPr>
          <w:rFonts w:ascii="Times New Roman" w:hAnsi="Times New Roman" w:cs="Times New Roman"/>
        </w:rPr>
        <w:t xml:space="preserve"> </w:t>
      </w:r>
      <w:r w:rsidR="00D8063D" w:rsidRPr="00F36B06">
        <w:rPr>
          <w:rFonts w:ascii="Times New Roman" w:hAnsi="Times New Roman" w:cs="Times New Roman"/>
        </w:rPr>
        <w:t>Tomēr būtiski atzīmēt</w:t>
      </w:r>
      <w:r w:rsidR="00BB0D63" w:rsidRPr="00F36B06">
        <w:rPr>
          <w:rFonts w:ascii="Times New Roman" w:hAnsi="Times New Roman" w:cs="Times New Roman"/>
        </w:rPr>
        <w:t xml:space="preserve">, ka skaita ziņā </w:t>
      </w:r>
      <w:r w:rsidR="000B79AB" w:rsidRPr="00F36B06">
        <w:rPr>
          <w:rFonts w:ascii="Times New Roman" w:hAnsi="Times New Roman" w:cs="Times New Roman"/>
        </w:rPr>
        <w:t xml:space="preserve">vismaz daļējā </w:t>
      </w:r>
      <w:r w:rsidR="005147B5" w:rsidRPr="00F36B06">
        <w:rPr>
          <w:rFonts w:ascii="Times New Roman" w:hAnsi="Times New Roman" w:cs="Times New Roman"/>
        </w:rPr>
        <w:t xml:space="preserve">piedziņa </w:t>
      </w:r>
      <w:r w:rsidR="000B79AB" w:rsidRPr="00F36B06">
        <w:rPr>
          <w:rFonts w:ascii="Times New Roman" w:hAnsi="Times New Roman" w:cs="Times New Roman"/>
        </w:rPr>
        <w:t xml:space="preserve">bija </w:t>
      </w:r>
      <w:r w:rsidR="004A27AC" w:rsidRPr="00F36B06">
        <w:rPr>
          <w:rFonts w:ascii="Times New Roman" w:hAnsi="Times New Roman" w:cs="Times New Roman"/>
        </w:rPr>
        <w:t xml:space="preserve">iespējama tikai 15 </w:t>
      </w:r>
      <w:r w:rsidR="00666149" w:rsidRPr="00F36B06">
        <w:rPr>
          <w:rFonts w:ascii="Times New Roman" w:hAnsi="Times New Roman" w:cs="Times New Roman"/>
        </w:rPr>
        <w:t xml:space="preserve">gadījumos </w:t>
      </w:r>
      <w:r w:rsidR="00E8052B" w:rsidRPr="00F36B06">
        <w:rPr>
          <w:rFonts w:ascii="Times New Roman" w:hAnsi="Times New Roman" w:cs="Times New Roman"/>
        </w:rPr>
        <w:t>no 79 prasībām</w:t>
      </w:r>
      <w:r w:rsidR="00CB647A" w:rsidRPr="00F36B06">
        <w:rPr>
          <w:rFonts w:ascii="Times New Roman" w:hAnsi="Times New Roman" w:cs="Times New Roman"/>
        </w:rPr>
        <w:t xml:space="preserve">, kas nozīmē, ka tikai </w:t>
      </w:r>
      <w:r w:rsidR="00251158" w:rsidRPr="00F36B06">
        <w:rPr>
          <w:rFonts w:ascii="Times New Roman" w:hAnsi="Times New Roman" w:cs="Times New Roman"/>
        </w:rPr>
        <w:t>19</w:t>
      </w:r>
      <w:r w:rsidR="00140382" w:rsidRPr="00F36B06">
        <w:rPr>
          <w:rFonts w:ascii="Times New Roman" w:hAnsi="Times New Roman" w:cs="Times New Roman"/>
        </w:rPr>
        <w:t> </w:t>
      </w:r>
      <w:r w:rsidR="00251158" w:rsidRPr="00F36B06">
        <w:rPr>
          <w:rFonts w:ascii="Times New Roman" w:hAnsi="Times New Roman" w:cs="Times New Roman"/>
        </w:rPr>
        <w:t xml:space="preserve">% gadījumu valdes </w:t>
      </w:r>
      <w:r w:rsidR="00EB707B" w:rsidRPr="00F36B06">
        <w:rPr>
          <w:rFonts w:ascii="Times New Roman" w:hAnsi="Times New Roman" w:cs="Times New Roman"/>
        </w:rPr>
        <w:t xml:space="preserve">loceklim </w:t>
      </w:r>
      <w:r w:rsidR="001A09DC" w:rsidRPr="00F36B06">
        <w:rPr>
          <w:rFonts w:ascii="Times New Roman" w:hAnsi="Times New Roman" w:cs="Times New Roman"/>
        </w:rPr>
        <w:t xml:space="preserve">ir bijusi </w:t>
      </w:r>
      <w:r w:rsidR="00443F94" w:rsidRPr="00F36B06">
        <w:rPr>
          <w:rFonts w:ascii="Times New Roman" w:hAnsi="Times New Roman" w:cs="Times New Roman"/>
        </w:rPr>
        <w:t xml:space="preserve">manta, uz ko ir iespējams vērst piedziņu. </w:t>
      </w:r>
      <w:r w:rsidR="00140382" w:rsidRPr="00F36B06">
        <w:rPr>
          <w:rFonts w:ascii="Times New Roman" w:hAnsi="Times New Roman" w:cs="Times New Roman"/>
        </w:rPr>
        <w:t>M</w:t>
      </w:r>
      <w:r w:rsidR="00FE7057" w:rsidRPr="00F36B06">
        <w:rPr>
          <w:rFonts w:ascii="Times New Roman" w:hAnsi="Times New Roman" w:cs="Times New Roman"/>
        </w:rPr>
        <w:t xml:space="preserve">inētais apstāklis ir ietekmējis </w:t>
      </w:r>
      <w:r w:rsidR="006A111F" w:rsidRPr="00F36B06">
        <w:rPr>
          <w:rFonts w:ascii="Times New Roman" w:hAnsi="Times New Roman" w:cs="Times New Roman"/>
        </w:rPr>
        <w:t>kred</w:t>
      </w:r>
      <w:r w:rsidR="00F87D50" w:rsidRPr="00F36B06">
        <w:rPr>
          <w:rFonts w:ascii="Times New Roman" w:hAnsi="Times New Roman" w:cs="Times New Roman"/>
        </w:rPr>
        <w:t>itoru lēmumu par turpmāko procesa virzību</w:t>
      </w:r>
      <w:r w:rsidR="00323D39" w:rsidRPr="00F36B06">
        <w:rPr>
          <w:rFonts w:ascii="Times New Roman" w:hAnsi="Times New Roman" w:cs="Times New Roman"/>
        </w:rPr>
        <w:t xml:space="preserve">, </w:t>
      </w:r>
      <w:r w:rsidR="00973662">
        <w:rPr>
          <w:rFonts w:ascii="Times New Roman" w:hAnsi="Times New Roman" w:cs="Times New Roman"/>
        </w:rPr>
        <w:t>t. i.</w:t>
      </w:r>
      <w:r w:rsidR="00323D39" w:rsidRPr="00F36B06">
        <w:rPr>
          <w:rFonts w:ascii="Times New Roman" w:hAnsi="Times New Roman" w:cs="Times New Roman"/>
        </w:rPr>
        <w:t>, l</w:t>
      </w:r>
      <w:r w:rsidR="00CA4784" w:rsidRPr="00F36B06">
        <w:rPr>
          <w:rFonts w:ascii="Times New Roman" w:hAnsi="Times New Roman" w:cs="Times New Roman"/>
        </w:rPr>
        <w:t>ē</w:t>
      </w:r>
      <w:r w:rsidR="00D36439" w:rsidRPr="00F36B06">
        <w:rPr>
          <w:rFonts w:ascii="Times New Roman" w:hAnsi="Times New Roman" w:cs="Times New Roman"/>
        </w:rPr>
        <w:t xml:space="preserve">mumu piekrist </w:t>
      </w:r>
      <w:r w:rsidR="00AF70EB" w:rsidRPr="00F36B06">
        <w:rPr>
          <w:rFonts w:ascii="Times New Roman" w:hAnsi="Times New Roman" w:cs="Times New Roman"/>
        </w:rPr>
        <w:t xml:space="preserve">parāda </w:t>
      </w:r>
      <w:r w:rsidR="00D36439" w:rsidRPr="00F36B06">
        <w:rPr>
          <w:rFonts w:ascii="Times New Roman" w:hAnsi="Times New Roman" w:cs="Times New Roman"/>
        </w:rPr>
        <w:t>cesija</w:t>
      </w:r>
      <w:r w:rsidR="005908D1" w:rsidRPr="00F36B06">
        <w:rPr>
          <w:rFonts w:ascii="Times New Roman" w:hAnsi="Times New Roman" w:cs="Times New Roman"/>
        </w:rPr>
        <w:t>i</w:t>
      </w:r>
      <w:r w:rsidR="00D36439" w:rsidRPr="00F36B06">
        <w:rPr>
          <w:rFonts w:ascii="Times New Roman" w:hAnsi="Times New Roman" w:cs="Times New Roman"/>
        </w:rPr>
        <w:t xml:space="preserve"> </w:t>
      </w:r>
      <w:r w:rsidR="007127E8" w:rsidRPr="00F36B06">
        <w:rPr>
          <w:rFonts w:ascii="Times New Roman" w:hAnsi="Times New Roman" w:cs="Times New Roman"/>
        </w:rPr>
        <w:t xml:space="preserve">vai izlīguma slēgšanai par summām, </w:t>
      </w:r>
      <w:r w:rsidR="005908D1" w:rsidRPr="00F36B06">
        <w:rPr>
          <w:rFonts w:ascii="Times New Roman" w:hAnsi="Times New Roman" w:cs="Times New Roman"/>
        </w:rPr>
        <w:t>kas ir krietni zemākas</w:t>
      </w:r>
      <w:r w:rsidR="00232C8F" w:rsidRPr="00F36B06">
        <w:rPr>
          <w:rFonts w:ascii="Times New Roman" w:hAnsi="Times New Roman" w:cs="Times New Roman"/>
        </w:rPr>
        <w:t xml:space="preserve"> </w:t>
      </w:r>
      <w:r w:rsidR="00AF70EB" w:rsidRPr="00F36B06">
        <w:rPr>
          <w:rFonts w:ascii="Times New Roman" w:hAnsi="Times New Roman" w:cs="Times New Roman"/>
        </w:rPr>
        <w:t>par piedzīto summu.</w:t>
      </w:r>
    </w:p>
    <w:p w14:paraId="61DC38E7" w14:textId="06EB5734" w:rsidR="00D76FB7" w:rsidRPr="00F36B06" w:rsidRDefault="000021CB"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Tāpat </w:t>
      </w:r>
      <w:r w:rsidR="00924BF7" w:rsidRPr="00F36B06">
        <w:rPr>
          <w:rFonts w:ascii="Times New Roman" w:hAnsi="Times New Roman" w:cs="Times New Roman"/>
        </w:rPr>
        <w:t>pētījuma rezultāti parāda</w:t>
      </w:r>
      <w:r w:rsidR="002C6E97" w:rsidRPr="00F36B06">
        <w:rPr>
          <w:rFonts w:ascii="Times New Roman" w:hAnsi="Times New Roman" w:cs="Times New Roman"/>
        </w:rPr>
        <w:t>, ka d</w:t>
      </w:r>
      <w:r w:rsidR="005C166D" w:rsidRPr="00F36B06">
        <w:rPr>
          <w:rFonts w:ascii="Times New Roman" w:hAnsi="Times New Roman" w:cs="Times New Roman"/>
        </w:rPr>
        <w:t xml:space="preserve">iezgan lielu īpatsvaru </w:t>
      </w:r>
      <w:r w:rsidR="005B0D4E" w:rsidRPr="00F36B06">
        <w:rPr>
          <w:rFonts w:ascii="Times New Roman" w:hAnsi="Times New Roman" w:cs="Times New Roman"/>
        </w:rPr>
        <w:t>(</w:t>
      </w:r>
      <w:r w:rsidR="00CE3982" w:rsidRPr="00F36B06">
        <w:rPr>
          <w:rFonts w:ascii="Times New Roman" w:hAnsi="Times New Roman" w:cs="Times New Roman"/>
        </w:rPr>
        <w:t>22</w:t>
      </w:r>
      <w:r w:rsidR="004F5974" w:rsidRPr="00F36B06">
        <w:rPr>
          <w:rFonts w:ascii="Times New Roman" w:hAnsi="Times New Roman" w:cs="Times New Roman"/>
        </w:rPr>
        <w:t> </w:t>
      </w:r>
      <w:r w:rsidR="00CE3982" w:rsidRPr="00F36B06">
        <w:rPr>
          <w:rFonts w:ascii="Times New Roman" w:hAnsi="Times New Roman" w:cs="Times New Roman"/>
        </w:rPr>
        <w:t>%</w:t>
      </w:r>
      <w:r w:rsidR="00EE36BB" w:rsidRPr="00F36B06">
        <w:rPr>
          <w:rFonts w:ascii="Times New Roman" w:hAnsi="Times New Roman" w:cs="Times New Roman"/>
        </w:rPr>
        <w:t xml:space="preserve">) </w:t>
      </w:r>
      <w:r w:rsidR="005C166D" w:rsidRPr="00F36B06">
        <w:rPr>
          <w:rFonts w:ascii="Times New Roman" w:hAnsi="Times New Roman" w:cs="Times New Roman"/>
        </w:rPr>
        <w:t xml:space="preserve">no </w:t>
      </w:r>
      <w:r w:rsidR="00D47EF1" w:rsidRPr="00F36B06">
        <w:rPr>
          <w:rFonts w:ascii="Times New Roman" w:hAnsi="Times New Roman" w:cs="Times New Roman"/>
        </w:rPr>
        <w:t>administrator</w:t>
      </w:r>
      <w:r w:rsidR="00E65A38" w:rsidRPr="00F36B06">
        <w:rPr>
          <w:rFonts w:ascii="Times New Roman" w:hAnsi="Times New Roman" w:cs="Times New Roman"/>
        </w:rPr>
        <w:t>u</w:t>
      </w:r>
      <w:r w:rsidR="00D47EF1" w:rsidRPr="00F36B06">
        <w:rPr>
          <w:rFonts w:ascii="Times New Roman" w:hAnsi="Times New Roman" w:cs="Times New Roman"/>
        </w:rPr>
        <w:t xml:space="preserve"> izvēlētajiem risinājumiem </w:t>
      </w:r>
      <w:r w:rsidR="001752C6" w:rsidRPr="00F36B06">
        <w:rPr>
          <w:rFonts w:ascii="Times New Roman" w:hAnsi="Times New Roman" w:cs="Times New Roman"/>
        </w:rPr>
        <w:t xml:space="preserve">parāda atgūšanai </w:t>
      </w:r>
      <w:r w:rsidR="00D47EF1" w:rsidRPr="00F36B06">
        <w:rPr>
          <w:rFonts w:ascii="Times New Roman" w:hAnsi="Times New Roman" w:cs="Times New Roman"/>
        </w:rPr>
        <w:t>veido izlīgums</w:t>
      </w:r>
      <w:r w:rsidR="00673C72" w:rsidRPr="00F36B06">
        <w:rPr>
          <w:rFonts w:ascii="Times New Roman" w:hAnsi="Times New Roman" w:cs="Times New Roman"/>
        </w:rPr>
        <w:t>.</w:t>
      </w:r>
      <w:r w:rsidR="001752C6" w:rsidRPr="00F36B06">
        <w:rPr>
          <w:rFonts w:ascii="Times New Roman" w:hAnsi="Times New Roman" w:cs="Times New Roman"/>
        </w:rPr>
        <w:t xml:space="preserve"> Lai arī no kopējās </w:t>
      </w:r>
      <w:r w:rsidR="008E25A8" w:rsidRPr="00F36B06">
        <w:rPr>
          <w:rFonts w:ascii="Times New Roman" w:hAnsi="Times New Roman" w:cs="Times New Roman"/>
        </w:rPr>
        <w:t>maksātnespējas proces</w:t>
      </w:r>
      <w:r w:rsidR="001D7629" w:rsidRPr="00F36B06">
        <w:rPr>
          <w:rFonts w:ascii="Times New Roman" w:hAnsi="Times New Roman" w:cs="Times New Roman"/>
        </w:rPr>
        <w:t>a</w:t>
      </w:r>
      <w:r w:rsidR="008E25A8" w:rsidRPr="00F36B06">
        <w:rPr>
          <w:rFonts w:ascii="Times New Roman" w:hAnsi="Times New Roman" w:cs="Times New Roman"/>
        </w:rPr>
        <w:t xml:space="preserve"> ietvaros </w:t>
      </w:r>
      <w:r w:rsidR="004A1FAD" w:rsidRPr="00F36B06">
        <w:rPr>
          <w:rFonts w:ascii="Times New Roman" w:hAnsi="Times New Roman" w:cs="Times New Roman"/>
        </w:rPr>
        <w:t xml:space="preserve">2023. gadā </w:t>
      </w:r>
      <w:r w:rsidR="001752C6" w:rsidRPr="00F36B06">
        <w:rPr>
          <w:rFonts w:ascii="Times New Roman" w:hAnsi="Times New Roman" w:cs="Times New Roman"/>
        </w:rPr>
        <w:t>atgūtās summas izlīguma rezultātā atgūt</w:t>
      </w:r>
      <w:r w:rsidR="00DF7D68" w:rsidRPr="00F36B06">
        <w:rPr>
          <w:rFonts w:ascii="Times New Roman" w:hAnsi="Times New Roman" w:cs="Times New Roman"/>
        </w:rPr>
        <w:t>i</w:t>
      </w:r>
      <w:r w:rsidR="001752C6" w:rsidRPr="00F36B06">
        <w:rPr>
          <w:rFonts w:ascii="Times New Roman" w:hAnsi="Times New Roman" w:cs="Times New Roman"/>
        </w:rPr>
        <w:t xml:space="preserve"> </w:t>
      </w:r>
      <w:r w:rsidR="00F27373" w:rsidRPr="00F36B06">
        <w:rPr>
          <w:rFonts w:ascii="Times New Roman" w:hAnsi="Times New Roman" w:cs="Times New Roman"/>
        </w:rPr>
        <w:t>30</w:t>
      </w:r>
      <w:r w:rsidR="004F5974" w:rsidRPr="00F36B06">
        <w:rPr>
          <w:rFonts w:ascii="Times New Roman" w:hAnsi="Times New Roman" w:cs="Times New Roman"/>
        </w:rPr>
        <w:t> </w:t>
      </w:r>
      <w:r w:rsidR="00F27373" w:rsidRPr="00F36B06">
        <w:rPr>
          <w:rFonts w:ascii="Times New Roman" w:hAnsi="Times New Roman" w:cs="Times New Roman"/>
        </w:rPr>
        <w:t>%</w:t>
      </w:r>
      <w:r w:rsidR="004A1FAD" w:rsidRPr="00F36B06">
        <w:rPr>
          <w:rFonts w:ascii="Times New Roman" w:hAnsi="Times New Roman" w:cs="Times New Roman"/>
        </w:rPr>
        <w:t xml:space="preserve"> (287 20</w:t>
      </w:r>
      <w:r w:rsidR="00F14F38">
        <w:rPr>
          <w:rFonts w:ascii="Times New Roman" w:hAnsi="Times New Roman" w:cs="Times New Roman"/>
        </w:rPr>
        <w:t>4</w:t>
      </w:r>
      <w:r w:rsidR="00F74108" w:rsidRPr="00F36B06">
        <w:rPr>
          <w:rFonts w:ascii="Times New Roman" w:hAnsi="Times New Roman" w:cs="Times New Roman"/>
        </w:rPr>
        <w:t> </w:t>
      </w:r>
      <w:proofErr w:type="spellStart"/>
      <w:r w:rsidR="008A7E77" w:rsidRPr="00F36B06">
        <w:rPr>
          <w:rFonts w:ascii="Times New Roman" w:hAnsi="Times New Roman" w:cs="Times New Roman"/>
          <w:i/>
          <w:iCs/>
        </w:rPr>
        <w:t>euro</w:t>
      </w:r>
      <w:proofErr w:type="spellEnd"/>
      <w:r w:rsidR="004A1FAD" w:rsidRPr="00F36B06">
        <w:rPr>
          <w:rFonts w:ascii="Times New Roman" w:hAnsi="Times New Roman" w:cs="Times New Roman"/>
        </w:rPr>
        <w:t>)</w:t>
      </w:r>
      <w:r w:rsidR="00F27373" w:rsidRPr="00F36B06">
        <w:rPr>
          <w:rFonts w:ascii="Times New Roman" w:hAnsi="Times New Roman" w:cs="Times New Roman"/>
        </w:rPr>
        <w:t xml:space="preserve">, </w:t>
      </w:r>
      <w:r w:rsidR="00DF061D" w:rsidRPr="00F36B06">
        <w:rPr>
          <w:rFonts w:ascii="Times New Roman" w:hAnsi="Times New Roman" w:cs="Times New Roman"/>
        </w:rPr>
        <w:t>tomēr</w:t>
      </w:r>
      <w:r w:rsidR="00F27373" w:rsidRPr="00F36B06">
        <w:rPr>
          <w:rFonts w:ascii="Times New Roman" w:hAnsi="Times New Roman" w:cs="Times New Roman"/>
        </w:rPr>
        <w:t xml:space="preserve"> </w:t>
      </w:r>
      <w:r w:rsidR="00AF04EB" w:rsidRPr="00F36B06">
        <w:rPr>
          <w:rFonts w:ascii="Times New Roman" w:hAnsi="Times New Roman" w:cs="Times New Roman"/>
        </w:rPr>
        <w:t xml:space="preserve">kopumā izlīguma efektivitāte ir </w:t>
      </w:r>
      <w:r w:rsidR="00C47CD0" w:rsidRPr="00F36B06">
        <w:rPr>
          <w:rFonts w:ascii="Times New Roman" w:hAnsi="Times New Roman" w:cs="Times New Roman"/>
        </w:rPr>
        <w:t>vērtējama kā</w:t>
      </w:r>
      <w:r w:rsidR="00AF04EB" w:rsidRPr="00F36B06">
        <w:rPr>
          <w:rFonts w:ascii="Times New Roman" w:hAnsi="Times New Roman" w:cs="Times New Roman"/>
        </w:rPr>
        <w:t xml:space="preserve"> zema, jo</w:t>
      </w:r>
      <w:r w:rsidR="00D64304" w:rsidRPr="00F36B06">
        <w:rPr>
          <w:rFonts w:ascii="Times New Roman" w:hAnsi="Times New Roman" w:cs="Times New Roman"/>
        </w:rPr>
        <w:t xml:space="preserve"> minētā summa veido vien 4</w:t>
      </w:r>
      <w:r w:rsidR="004C1975" w:rsidRPr="00F36B06">
        <w:rPr>
          <w:rFonts w:ascii="Times New Roman" w:hAnsi="Times New Roman" w:cs="Times New Roman"/>
        </w:rPr>
        <w:t> </w:t>
      </w:r>
      <w:r w:rsidR="00D64304" w:rsidRPr="00F36B06">
        <w:rPr>
          <w:rFonts w:ascii="Times New Roman" w:hAnsi="Times New Roman" w:cs="Times New Roman"/>
        </w:rPr>
        <w:t>%</w:t>
      </w:r>
      <w:r w:rsidR="00AF04EB" w:rsidRPr="00F36B06">
        <w:rPr>
          <w:rFonts w:ascii="Times New Roman" w:hAnsi="Times New Roman" w:cs="Times New Roman"/>
        </w:rPr>
        <w:t xml:space="preserve"> no kopējās parād</w:t>
      </w:r>
      <w:r w:rsidR="00E034CB" w:rsidRPr="00F36B06">
        <w:rPr>
          <w:rFonts w:ascii="Times New Roman" w:hAnsi="Times New Roman" w:cs="Times New Roman"/>
        </w:rPr>
        <w:t>a</w:t>
      </w:r>
      <w:r w:rsidR="00AF04EB" w:rsidRPr="00F36B06">
        <w:rPr>
          <w:rFonts w:ascii="Times New Roman" w:hAnsi="Times New Roman" w:cs="Times New Roman"/>
        </w:rPr>
        <w:t xml:space="preserve"> summas, par kuru ir noslēgt</w:t>
      </w:r>
      <w:r w:rsidR="00245380" w:rsidRPr="00F36B06">
        <w:rPr>
          <w:rFonts w:ascii="Times New Roman" w:hAnsi="Times New Roman" w:cs="Times New Roman"/>
        </w:rPr>
        <w:t>s</w:t>
      </w:r>
      <w:r w:rsidR="00AF04EB" w:rsidRPr="00F36B06">
        <w:rPr>
          <w:rFonts w:ascii="Times New Roman" w:hAnsi="Times New Roman" w:cs="Times New Roman"/>
        </w:rPr>
        <w:t xml:space="preserve"> izlīgums </w:t>
      </w:r>
      <w:r w:rsidR="007E18E4" w:rsidRPr="00F36B06">
        <w:rPr>
          <w:rFonts w:ascii="Times New Roman" w:hAnsi="Times New Roman" w:cs="Times New Roman"/>
        </w:rPr>
        <w:t>(7 524 062 </w:t>
      </w:r>
      <w:proofErr w:type="spellStart"/>
      <w:r w:rsidR="007E18E4" w:rsidRPr="00F36B06">
        <w:rPr>
          <w:rFonts w:ascii="Times New Roman" w:hAnsi="Times New Roman" w:cs="Times New Roman"/>
          <w:i/>
          <w:iCs/>
        </w:rPr>
        <w:t>euro</w:t>
      </w:r>
      <w:proofErr w:type="spellEnd"/>
      <w:r w:rsidR="00F938FC" w:rsidRPr="00F36B06">
        <w:rPr>
          <w:rFonts w:ascii="Times New Roman" w:hAnsi="Times New Roman" w:cs="Times New Roman"/>
          <w:i/>
          <w:iCs/>
        </w:rPr>
        <w:t>)</w:t>
      </w:r>
      <w:r w:rsidR="00CE646E" w:rsidRPr="00F36B06">
        <w:rPr>
          <w:rFonts w:ascii="Times New Roman" w:hAnsi="Times New Roman" w:cs="Times New Roman"/>
        </w:rPr>
        <w:t>.</w:t>
      </w:r>
      <w:r w:rsidR="00DC03D0" w:rsidRPr="00F36B06">
        <w:rPr>
          <w:rFonts w:ascii="Times New Roman" w:hAnsi="Times New Roman" w:cs="Times New Roman"/>
        </w:rPr>
        <w:t xml:space="preserve"> Līdz ar to, noslēdzot izlīgumu</w:t>
      </w:r>
      <w:r w:rsidR="00D76FB7" w:rsidRPr="00F36B06">
        <w:rPr>
          <w:rFonts w:ascii="Times New Roman" w:hAnsi="Times New Roman" w:cs="Times New Roman"/>
        </w:rPr>
        <w:t>, ir norakstīta vislielākā parāda summa.</w:t>
      </w:r>
      <w:r w:rsidR="00CE646E" w:rsidRPr="00F36B06">
        <w:rPr>
          <w:rFonts w:ascii="Times New Roman" w:hAnsi="Times New Roman" w:cs="Times New Roman"/>
        </w:rPr>
        <w:t xml:space="preserve"> </w:t>
      </w:r>
      <w:r w:rsidR="004E28BD" w:rsidRPr="00F36B06">
        <w:rPr>
          <w:rFonts w:ascii="Times New Roman" w:hAnsi="Times New Roman" w:cs="Times New Roman"/>
        </w:rPr>
        <w:t xml:space="preserve">Ņemot vērā </w:t>
      </w:r>
      <w:r w:rsidR="00593DF4" w:rsidRPr="00F36B06">
        <w:rPr>
          <w:rFonts w:ascii="Times New Roman" w:hAnsi="Times New Roman" w:cs="Times New Roman"/>
        </w:rPr>
        <w:t>to, ka zaudējumu atlīdzināšana ir galvenais civiltiesiskais līdzeklis tiesisku aizskārumu seku novēršanai, kas ļauj atjaunot tādu mantisko stāvokli, kāds būtu, ja nebūtu tiesībpārkāpuma</w:t>
      </w:r>
      <w:r w:rsidR="009B0E34" w:rsidRPr="00F36B06">
        <w:rPr>
          <w:rFonts w:ascii="Times New Roman" w:hAnsi="Times New Roman" w:cs="Times New Roman"/>
        </w:rPr>
        <w:t xml:space="preserve">, kā arī maksātnespējas procesa mērķi – pēc iespējas pilnīgāk apmierināt </w:t>
      </w:r>
      <w:r w:rsidR="00236E2E" w:rsidRPr="00F36B06">
        <w:rPr>
          <w:rFonts w:ascii="Times New Roman" w:hAnsi="Times New Roman" w:cs="Times New Roman"/>
        </w:rPr>
        <w:t>kreditora prasījumus</w:t>
      </w:r>
      <w:r w:rsidR="002C6274" w:rsidRPr="00F36B06">
        <w:rPr>
          <w:rFonts w:ascii="Times New Roman" w:hAnsi="Times New Roman" w:cs="Times New Roman"/>
        </w:rPr>
        <w:t>, izlīguma slēgšana</w:t>
      </w:r>
      <w:r w:rsidR="001F2C26" w:rsidRPr="00F36B06">
        <w:rPr>
          <w:rFonts w:ascii="Times New Roman" w:hAnsi="Times New Roman" w:cs="Times New Roman"/>
        </w:rPr>
        <w:t xml:space="preserve">i ir </w:t>
      </w:r>
      <w:r w:rsidR="00EF72A9" w:rsidRPr="00F36B06">
        <w:rPr>
          <w:rFonts w:ascii="Times New Roman" w:hAnsi="Times New Roman" w:cs="Times New Roman"/>
        </w:rPr>
        <w:t xml:space="preserve">bijusi </w:t>
      </w:r>
      <w:r w:rsidR="001F2C26" w:rsidRPr="00F36B06">
        <w:rPr>
          <w:rFonts w:ascii="Times New Roman" w:hAnsi="Times New Roman" w:cs="Times New Roman"/>
        </w:rPr>
        <w:t>viszemākā</w:t>
      </w:r>
      <w:r w:rsidR="00EF72A9" w:rsidRPr="00F36B06">
        <w:rPr>
          <w:rFonts w:ascii="Times New Roman" w:hAnsi="Times New Roman" w:cs="Times New Roman"/>
        </w:rPr>
        <w:t xml:space="preserve"> efektivitāte.</w:t>
      </w:r>
      <w:r w:rsidR="001F2C26" w:rsidRPr="00F36B06">
        <w:rPr>
          <w:rFonts w:ascii="Times New Roman" w:hAnsi="Times New Roman" w:cs="Times New Roman"/>
        </w:rPr>
        <w:t xml:space="preserve"> </w:t>
      </w:r>
    </w:p>
    <w:p w14:paraId="67B51313" w14:textId="1E153CA2" w:rsidR="0097378E" w:rsidRPr="00F36B06" w:rsidRDefault="00FB5A87"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Jāvērš </w:t>
      </w:r>
      <w:r w:rsidR="00DF2934" w:rsidRPr="00F36B06">
        <w:rPr>
          <w:rFonts w:ascii="Times New Roman" w:hAnsi="Times New Roman" w:cs="Times New Roman"/>
        </w:rPr>
        <w:t xml:space="preserve">uzmanība, ka pētījuma nolūkiem </w:t>
      </w:r>
      <w:r w:rsidR="007E27DC" w:rsidRPr="00F36B06">
        <w:rPr>
          <w:rFonts w:ascii="Times New Roman" w:hAnsi="Times New Roman" w:cs="Times New Roman"/>
        </w:rPr>
        <w:t xml:space="preserve">termins "izlīgums" tiek lietots </w:t>
      </w:r>
      <w:r w:rsidR="00067DC4" w:rsidRPr="00F36B06">
        <w:rPr>
          <w:rFonts w:ascii="Times New Roman" w:hAnsi="Times New Roman" w:cs="Times New Roman"/>
        </w:rPr>
        <w:t>plašākā</w:t>
      </w:r>
      <w:r w:rsidR="007E27DC" w:rsidRPr="00F36B06">
        <w:rPr>
          <w:rFonts w:ascii="Times New Roman" w:hAnsi="Times New Roman" w:cs="Times New Roman"/>
        </w:rPr>
        <w:t xml:space="preserve"> </w:t>
      </w:r>
      <w:r w:rsidR="006F1978" w:rsidRPr="00F36B06">
        <w:rPr>
          <w:rFonts w:ascii="Times New Roman" w:hAnsi="Times New Roman" w:cs="Times New Roman"/>
        </w:rPr>
        <w:t>izpratnē</w:t>
      </w:r>
      <w:r w:rsidR="00067DC4" w:rsidRPr="00F36B06">
        <w:rPr>
          <w:rFonts w:ascii="Times New Roman" w:hAnsi="Times New Roman" w:cs="Times New Roman"/>
        </w:rPr>
        <w:t xml:space="preserve"> </w:t>
      </w:r>
      <w:r w:rsidR="006F1978" w:rsidRPr="00F36B06">
        <w:rPr>
          <w:rFonts w:ascii="Times New Roman" w:hAnsi="Times New Roman" w:cs="Times New Roman"/>
        </w:rPr>
        <w:t>–</w:t>
      </w:r>
      <w:r w:rsidR="00067DC4" w:rsidRPr="00F36B06">
        <w:rPr>
          <w:rFonts w:ascii="Times New Roman" w:hAnsi="Times New Roman" w:cs="Times New Roman"/>
        </w:rPr>
        <w:t xml:space="preserve"> </w:t>
      </w:r>
      <w:r w:rsidR="00F77E4E" w:rsidRPr="00F36B06">
        <w:rPr>
          <w:rFonts w:ascii="Times New Roman" w:hAnsi="Times New Roman" w:cs="Times New Roman"/>
        </w:rPr>
        <w:t xml:space="preserve">gan </w:t>
      </w:r>
      <w:r w:rsidR="00C610CA" w:rsidRPr="00F36B06">
        <w:rPr>
          <w:rFonts w:ascii="Times New Roman" w:hAnsi="Times New Roman" w:cs="Times New Roman"/>
        </w:rPr>
        <w:t>i</w:t>
      </w:r>
      <w:r w:rsidR="00067DC4" w:rsidRPr="00F36B06">
        <w:rPr>
          <w:rFonts w:ascii="Times New Roman" w:hAnsi="Times New Roman" w:cs="Times New Roman"/>
        </w:rPr>
        <w:t>zlīgum</w:t>
      </w:r>
      <w:r w:rsidR="006E6446" w:rsidRPr="00F36B06">
        <w:rPr>
          <w:rFonts w:ascii="Times New Roman" w:hAnsi="Times New Roman" w:cs="Times New Roman"/>
        </w:rPr>
        <w:t xml:space="preserve">s </w:t>
      </w:r>
      <w:r w:rsidR="00C610CA" w:rsidRPr="00F36B06">
        <w:rPr>
          <w:rFonts w:ascii="Times New Roman" w:hAnsi="Times New Roman" w:cs="Times New Roman"/>
        </w:rPr>
        <w:t>kā strīda risinājums</w:t>
      </w:r>
      <w:r w:rsidR="00067DC4" w:rsidRPr="00F36B06">
        <w:rPr>
          <w:rFonts w:ascii="Times New Roman" w:hAnsi="Times New Roman" w:cs="Times New Roman"/>
        </w:rPr>
        <w:t xml:space="preserve"> civilprocesā tiesas kārtībā</w:t>
      </w:r>
      <w:r w:rsidR="006E6446" w:rsidRPr="00F36B06">
        <w:rPr>
          <w:rStyle w:val="FootnoteReference"/>
          <w:rFonts w:ascii="Times New Roman" w:hAnsi="Times New Roman" w:cs="Times New Roman"/>
        </w:rPr>
        <w:footnoteReference w:id="20"/>
      </w:r>
      <w:r w:rsidR="00CB25D4" w:rsidRPr="00F36B06">
        <w:rPr>
          <w:rFonts w:ascii="Times New Roman" w:hAnsi="Times New Roman" w:cs="Times New Roman"/>
        </w:rPr>
        <w:t xml:space="preserve">, gan </w:t>
      </w:r>
      <w:r w:rsidR="00067DC4" w:rsidRPr="00F36B06">
        <w:rPr>
          <w:rFonts w:ascii="Times New Roman" w:hAnsi="Times New Roman" w:cs="Times New Roman"/>
        </w:rPr>
        <w:t>pu</w:t>
      </w:r>
      <w:r w:rsidR="00041B4E" w:rsidRPr="00F36B06">
        <w:rPr>
          <w:rFonts w:ascii="Times New Roman" w:hAnsi="Times New Roman" w:cs="Times New Roman"/>
        </w:rPr>
        <w:t>šu</w:t>
      </w:r>
      <w:r w:rsidR="00067DC4" w:rsidRPr="00F36B06">
        <w:rPr>
          <w:rFonts w:ascii="Times New Roman" w:hAnsi="Times New Roman" w:cs="Times New Roman"/>
        </w:rPr>
        <w:t xml:space="preserve"> noslē</w:t>
      </w:r>
      <w:r w:rsidR="00041B4E" w:rsidRPr="00F36B06">
        <w:rPr>
          <w:rFonts w:ascii="Times New Roman" w:hAnsi="Times New Roman" w:cs="Times New Roman"/>
        </w:rPr>
        <w:t xml:space="preserve">gtā </w:t>
      </w:r>
      <w:r w:rsidR="00067DC4" w:rsidRPr="00F36B06">
        <w:rPr>
          <w:rFonts w:ascii="Times New Roman" w:hAnsi="Times New Roman" w:cs="Times New Roman"/>
        </w:rPr>
        <w:t>vienošan</w:t>
      </w:r>
      <w:r w:rsidR="00B92484" w:rsidRPr="00F36B06">
        <w:rPr>
          <w:rFonts w:ascii="Times New Roman" w:hAnsi="Times New Roman" w:cs="Times New Roman"/>
        </w:rPr>
        <w:t>ā</w:t>
      </w:r>
      <w:r w:rsidR="00067DC4" w:rsidRPr="00F36B06">
        <w:rPr>
          <w:rFonts w:ascii="Times New Roman" w:hAnsi="Times New Roman" w:cs="Times New Roman"/>
        </w:rPr>
        <w:t>s par pušu starpā esošo strīdu vēl pirms vēršanās tiesā</w:t>
      </w:r>
      <w:r w:rsidR="00041B4E" w:rsidRPr="00F36B06">
        <w:rPr>
          <w:rFonts w:ascii="Times New Roman" w:hAnsi="Times New Roman" w:cs="Times New Roman"/>
        </w:rPr>
        <w:t xml:space="preserve"> vai arī, atsaucot </w:t>
      </w:r>
      <w:r w:rsidR="00E45CB0" w:rsidRPr="00F36B06">
        <w:rPr>
          <w:rFonts w:ascii="Times New Roman" w:hAnsi="Times New Roman" w:cs="Times New Roman"/>
        </w:rPr>
        <w:t xml:space="preserve">tiesā iesniegto prasības pieteikumu – </w:t>
      </w:r>
      <w:r w:rsidR="00067DC4" w:rsidRPr="00F36B06">
        <w:rPr>
          <w:rFonts w:ascii="Times New Roman" w:hAnsi="Times New Roman" w:cs="Times New Roman"/>
        </w:rPr>
        <w:t>izlīgu</w:t>
      </w:r>
      <w:r w:rsidR="00E45CB0" w:rsidRPr="00F36B06">
        <w:rPr>
          <w:rFonts w:ascii="Times New Roman" w:hAnsi="Times New Roman" w:cs="Times New Roman"/>
        </w:rPr>
        <w:t>ms</w:t>
      </w:r>
      <w:r w:rsidR="00067DC4" w:rsidRPr="00F36B06">
        <w:rPr>
          <w:rFonts w:ascii="Times New Roman" w:hAnsi="Times New Roman" w:cs="Times New Roman"/>
        </w:rPr>
        <w:t xml:space="preserve"> </w:t>
      </w:r>
      <w:proofErr w:type="spellStart"/>
      <w:r w:rsidR="00067DC4" w:rsidRPr="00F36B06">
        <w:rPr>
          <w:rFonts w:ascii="Times New Roman" w:hAnsi="Times New Roman" w:cs="Times New Roman"/>
        </w:rPr>
        <w:t>ārpustiesas</w:t>
      </w:r>
      <w:proofErr w:type="spellEnd"/>
      <w:r w:rsidR="00067DC4" w:rsidRPr="00F36B06">
        <w:rPr>
          <w:rFonts w:ascii="Times New Roman" w:hAnsi="Times New Roman" w:cs="Times New Roman"/>
        </w:rPr>
        <w:t xml:space="preserve"> kārtībā</w:t>
      </w:r>
      <w:r w:rsidR="00E45CB0" w:rsidRPr="00F36B06">
        <w:rPr>
          <w:rStyle w:val="FootnoteReference"/>
          <w:rFonts w:ascii="Times New Roman" w:hAnsi="Times New Roman" w:cs="Times New Roman"/>
        </w:rPr>
        <w:footnoteReference w:id="21"/>
      </w:r>
      <w:r w:rsidR="00067DC4" w:rsidRPr="00F36B06">
        <w:rPr>
          <w:rFonts w:ascii="Times New Roman" w:hAnsi="Times New Roman" w:cs="Times New Roman"/>
        </w:rPr>
        <w:t>.</w:t>
      </w:r>
      <w:r w:rsidR="005947B1" w:rsidRPr="00F36B06">
        <w:rPr>
          <w:rFonts w:ascii="Times New Roman" w:hAnsi="Times New Roman" w:cs="Times New Roman"/>
        </w:rPr>
        <w:t xml:space="preserve"> </w:t>
      </w:r>
      <w:r w:rsidR="006E71C5" w:rsidRPr="00F36B06">
        <w:rPr>
          <w:rFonts w:ascii="Times New Roman" w:hAnsi="Times New Roman" w:cs="Times New Roman"/>
        </w:rPr>
        <w:t>Kā jau minēts</w:t>
      </w:r>
      <w:r w:rsidR="006068A9" w:rsidRPr="00F36B06">
        <w:rPr>
          <w:rFonts w:ascii="Times New Roman" w:hAnsi="Times New Roman" w:cs="Times New Roman"/>
        </w:rPr>
        <w:t>,</w:t>
      </w:r>
      <w:r w:rsidR="006E71C5" w:rsidRPr="00F36B06">
        <w:rPr>
          <w:rFonts w:ascii="Times New Roman" w:hAnsi="Times New Roman" w:cs="Times New Roman"/>
        </w:rPr>
        <w:t xml:space="preserve"> </w:t>
      </w:r>
      <w:r w:rsidR="00D51162" w:rsidRPr="00F36B06">
        <w:rPr>
          <w:rFonts w:ascii="Times New Roman" w:hAnsi="Times New Roman" w:cs="Times New Roman"/>
        </w:rPr>
        <w:t>izlīguma rezultātā izdodas atgūt</w:t>
      </w:r>
      <w:r w:rsidR="005A3E6C" w:rsidRPr="00F36B06">
        <w:rPr>
          <w:rFonts w:ascii="Times New Roman" w:hAnsi="Times New Roman" w:cs="Times New Roman"/>
        </w:rPr>
        <w:t>,</w:t>
      </w:r>
      <w:r w:rsidR="00D51162" w:rsidRPr="00F36B06">
        <w:rPr>
          <w:rFonts w:ascii="Times New Roman" w:hAnsi="Times New Roman" w:cs="Times New Roman"/>
        </w:rPr>
        <w:t xml:space="preserve"> sākot no 1</w:t>
      </w:r>
      <w:r w:rsidR="005A3E6C" w:rsidRPr="00F36B06">
        <w:rPr>
          <w:rFonts w:ascii="Times New Roman" w:hAnsi="Times New Roman" w:cs="Times New Roman"/>
        </w:rPr>
        <w:t> </w:t>
      </w:r>
      <w:r w:rsidR="00D51162" w:rsidRPr="00F36B06">
        <w:rPr>
          <w:rFonts w:ascii="Times New Roman" w:hAnsi="Times New Roman" w:cs="Times New Roman"/>
        </w:rPr>
        <w:t>%</w:t>
      </w:r>
      <w:r w:rsidR="005A3E6C" w:rsidRPr="00F36B06">
        <w:rPr>
          <w:rFonts w:ascii="Times New Roman" w:hAnsi="Times New Roman" w:cs="Times New Roman"/>
        </w:rPr>
        <w:t>,</w:t>
      </w:r>
      <w:r w:rsidR="00D51162" w:rsidRPr="00F36B06">
        <w:rPr>
          <w:rFonts w:ascii="Times New Roman" w:hAnsi="Times New Roman" w:cs="Times New Roman"/>
        </w:rPr>
        <w:t> beidzot ar 100</w:t>
      </w:r>
      <w:r w:rsidR="005A3E6C" w:rsidRPr="00F36B06">
        <w:rPr>
          <w:rFonts w:ascii="Times New Roman" w:hAnsi="Times New Roman" w:cs="Times New Roman"/>
        </w:rPr>
        <w:t> </w:t>
      </w:r>
      <w:r w:rsidR="00D51162" w:rsidRPr="00F36B06">
        <w:rPr>
          <w:rFonts w:ascii="Times New Roman" w:hAnsi="Times New Roman" w:cs="Times New Roman"/>
        </w:rPr>
        <w:t>% no prasības summas</w:t>
      </w:r>
      <w:r w:rsidR="00685A07" w:rsidRPr="00F36B06">
        <w:rPr>
          <w:rFonts w:ascii="Times New Roman" w:hAnsi="Times New Roman" w:cs="Times New Roman"/>
        </w:rPr>
        <w:t>.</w:t>
      </w:r>
      <w:r w:rsidR="00D51162" w:rsidRPr="00F36B06">
        <w:rPr>
          <w:rFonts w:ascii="Times New Roman" w:hAnsi="Times New Roman" w:cs="Times New Roman"/>
        </w:rPr>
        <w:t xml:space="preserve"> </w:t>
      </w:r>
    </w:p>
    <w:p w14:paraId="157B4799" w14:textId="6E61D7E8" w:rsidR="00E958E4" w:rsidRPr="00F36B06" w:rsidRDefault="00977FD3"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Pētījum</w:t>
      </w:r>
      <w:r w:rsidR="0097378E" w:rsidRPr="00F36B06">
        <w:rPr>
          <w:rFonts w:ascii="Times New Roman" w:hAnsi="Times New Roman" w:cs="Times New Roman"/>
        </w:rPr>
        <w:t>a</w:t>
      </w:r>
      <w:r w:rsidRPr="00F36B06">
        <w:rPr>
          <w:rFonts w:ascii="Times New Roman" w:hAnsi="Times New Roman" w:cs="Times New Roman"/>
        </w:rPr>
        <w:t xml:space="preserve"> ietvaros nav analizēti</w:t>
      </w:r>
      <w:r w:rsidR="0099119E" w:rsidRPr="00F36B06">
        <w:rPr>
          <w:rFonts w:ascii="Times New Roman" w:hAnsi="Times New Roman" w:cs="Times New Roman"/>
        </w:rPr>
        <w:t xml:space="preserve"> </w:t>
      </w:r>
      <w:r w:rsidR="004760C2" w:rsidRPr="00F36B06">
        <w:rPr>
          <w:rFonts w:ascii="Times New Roman" w:hAnsi="Times New Roman" w:cs="Times New Roman"/>
        </w:rPr>
        <w:t xml:space="preserve">izlīguma noslēgšanas </w:t>
      </w:r>
      <w:r w:rsidR="0099119E" w:rsidRPr="00F36B06">
        <w:rPr>
          <w:rFonts w:ascii="Times New Roman" w:hAnsi="Times New Roman" w:cs="Times New Roman"/>
        </w:rPr>
        <w:t>apstākļi</w:t>
      </w:r>
      <w:r w:rsidR="004760C2" w:rsidRPr="00F36B06">
        <w:rPr>
          <w:rFonts w:ascii="Times New Roman" w:hAnsi="Times New Roman" w:cs="Times New Roman"/>
        </w:rPr>
        <w:t xml:space="preserve"> katrā konkrētā gadījumā</w:t>
      </w:r>
      <w:r w:rsidR="00AC080F" w:rsidRPr="00F36B06">
        <w:rPr>
          <w:rFonts w:ascii="Times New Roman" w:hAnsi="Times New Roman" w:cs="Times New Roman"/>
        </w:rPr>
        <w:t xml:space="preserve">, tomēr </w:t>
      </w:r>
      <w:r w:rsidR="00FD0CF9" w:rsidRPr="00F36B06">
        <w:rPr>
          <w:rFonts w:ascii="Times New Roman" w:hAnsi="Times New Roman" w:cs="Times New Roman"/>
        </w:rPr>
        <w:t>m</w:t>
      </w:r>
      <w:r w:rsidR="008C3707" w:rsidRPr="00F36B06">
        <w:rPr>
          <w:rFonts w:ascii="Times New Roman" w:hAnsi="Times New Roman" w:cs="Times New Roman"/>
        </w:rPr>
        <w:t>aksātnespējas proces</w:t>
      </w:r>
      <w:r w:rsidR="00A31B2B" w:rsidRPr="00F36B06">
        <w:rPr>
          <w:rFonts w:ascii="Times New Roman" w:hAnsi="Times New Roman" w:cs="Times New Roman"/>
        </w:rPr>
        <w:t>o</w:t>
      </w:r>
      <w:r w:rsidR="008C3707" w:rsidRPr="00F36B06">
        <w:rPr>
          <w:rFonts w:ascii="Times New Roman" w:hAnsi="Times New Roman" w:cs="Times New Roman"/>
        </w:rPr>
        <w:t>s, kuros Maksātnespējas kontroles dienest</w:t>
      </w:r>
      <w:r w:rsidR="00EC49E3" w:rsidRPr="00F36B06">
        <w:rPr>
          <w:rFonts w:ascii="Times New Roman" w:hAnsi="Times New Roman" w:cs="Times New Roman"/>
        </w:rPr>
        <w:t>s</w:t>
      </w:r>
      <w:r w:rsidR="008C3707" w:rsidRPr="00F36B06">
        <w:rPr>
          <w:rFonts w:ascii="Times New Roman" w:hAnsi="Times New Roman" w:cs="Times New Roman"/>
        </w:rPr>
        <w:t xml:space="preserve"> </w:t>
      </w:r>
      <w:r w:rsidR="00EC49E3" w:rsidRPr="00F36B06">
        <w:rPr>
          <w:rFonts w:ascii="Times New Roman" w:hAnsi="Times New Roman" w:cs="Times New Roman"/>
        </w:rPr>
        <w:t>bija kreditors</w:t>
      </w:r>
      <w:r w:rsidR="00A771E6" w:rsidRPr="00F36B06">
        <w:rPr>
          <w:rStyle w:val="FootnoteReference"/>
          <w:rFonts w:ascii="Times New Roman" w:hAnsi="Times New Roman" w:cs="Times New Roman"/>
        </w:rPr>
        <w:footnoteReference w:id="22"/>
      </w:r>
      <w:r w:rsidR="00023AE5" w:rsidRPr="00F36B06">
        <w:rPr>
          <w:rFonts w:ascii="Times New Roman" w:hAnsi="Times New Roman" w:cs="Times New Roman"/>
        </w:rPr>
        <w:t xml:space="preserve">, </w:t>
      </w:r>
      <w:r w:rsidR="003825F8" w:rsidRPr="00F36B06">
        <w:rPr>
          <w:rFonts w:ascii="Times New Roman" w:hAnsi="Times New Roman" w:cs="Times New Roman"/>
        </w:rPr>
        <w:t xml:space="preserve">izlīguma rezultātā </w:t>
      </w:r>
      <w:r w:rsidR="00462319" w:rsidRPr="00F36B06">
        <w:rPr>
          <w:rFonts w:ascii="Times New Roman" w:hAnsi="Times New Roman" w:cs="Times New Roman"/>
        </w:rPr>
        <w:t xml:space="preserve">atgūtā summa </w:t>
      </w:r>
      <w:r w:rsidR="00CE57C8" w:rsidRPr="00F36B06">
        <w:rPr>
          <w:rFonts w:ascii="Times New Roman" w:hAnsi="Times New Roman" w:cs="Times New Roman"/>
        </w:rPr>
        <w:t>ir</w:t>
      </w:r>
      <w:r w:rsidR="00462319" w:rsidRPr="00F36B06">
        <w:rPr>
          <w:rFonts w:ascii="Times New Roman" w:hAnsi="Times New Roman" w:cs="Times New Roman"/>
        </w:rPr>
        <w:t xml:space="preserve"> attiecīgi 33</w:t>
      </w:r>
      <w:r w:rsidR="00705148" w:rsidRPr="00F36B06">
        <w:rPr>
          <w:rFonts w:ascii="Times New Roman" w:hAnsi="Times New Roman" w:cs="Times New Roman"/>
        </w:rPr>
        <w:t> </w:t>
      </w:r>
      <w:r w:rsidR="00502C3A" w:rsidRPr="00F36B06">
        <w:rPr>
          <w:rFonts w:ascii="Times New Roman" w:hAnsi="Times New Roman" w:cs="Times New Roman"/>
        </w:rPr>
        <w:t>%</w:t>
      </w:r>
      <w:r w:rsidR="00462319" w:rsidRPr="00F36B06">
        <w:rPr>
          <w:rFonts w:ascii="Times New Roman" w:hAnsi="Times New Roman" w:cs="Times New Roman"/>
        </w:rPr>
        <w:t xml:space="preserve"> un 60</w:t>
      </w:r>
      <w:r w:rsidR="00705148" w:rsidRPr="00F36B06">
        <w:rPr>
          <w:rFonts w:ascii="Times New Roman" w:hAnsi="Times New Roman" w:cs="Times New Roman"/>
        </w:rPr>
        <w:t> </w:t>
      </w:r>
      <w:r w:rsidR="00502C3A" w:rsidRPr="00F36B06">
        <w:rPr>
          <w:rFonts w:ascii="Times New Roman" w:hAnsi="Times New Roman" w:cs="Times New Roman"/>
        </w:rPr>
        <w:t>% no prasījumu summas</w:t>
      </w:r>
      <w:r w:rsidR="00DE49E7" w:rsidRPr="00F36B06">
        <w:rPr>
          <w:rFonts w:ascii="Times New Roman" w:hAnsi="Times New Roman" w:cs="Times New Roman"/>
        </w:rPr>
        <w:t>.</w:t>
      </w:r>
      <w:r w:rsidR="00A771E6" w:rsidRPr="00F36B06">
        <w:rPr>
          <w:rFonts w:ascii="Times New Roman" w:hAnsi="Times New Roman" w:cs="Times New Roman"/>
        </w:rPr>
        <w:t xml:space="preserve"> </w:t>
      </w:r>
      <w:r w:rsidR="0042707B" w:rsidRPr="00F36B06">
        <w:rPr>
          <w:rFonts w:ascii="Times New Roman" w:hAnsi="Times New Roman" w:cs="Times New Roman"/>
        </w:rPr>
        <w:t xml:space="preserve">Gadījumā, kad Maksātnespējas </w:t>
      </w:r>
      <w:r w:rsidR="00C777B4" w:rsidRPr="00F36B06">
        <w:rPr>
          <w:rFonts w:ascii="Times New Roman" w:hAnsi="Times New Roman" w:cs="Times New Roman"/>
        </w:rPr>
        <w:t xml:space="preserve">kontroles dienestam maksātnespējas procesā </w:t>
      </w:r>
      <w:r w:rsidR="00A01532" w:rsidRPr="00F36B06">
        <w:rPr>
          <w:rFonts w:ascii="Times New Roman" w:hAnsi="Times New Roman" w:cs="Times New Roman"/>
        </w:rPr>
        <w:t>ir pie</w:t>
      </w:r>
      <w:r w:rsidR="0005425A" w:rsidRPr="00F36B06">
        <w:rPr>
          <w:rFonts w:ascii="Times New Roman" w:hAnsi="Times New Roman" w:cs="Times New Roman"/>
        </w:rPr>
        <w:t xml:space="preserve">šķirts kreditora statuss, iestāde </w:t>
      </w:r>
      <w:r w:rsidR="00DF061D" w:rsidRPr="00F36B06">
        <w:rPr>
          <w:rFonts w:ascii="Times New Roman" w:hAnsi="Times New Roman" w:cs="Times New Roman"/>
        </w:rPr>
        <w:t xml:space="preserve">kopā ar </w:t>
      </w:r>
      <w:r w:rsidR="0005425A" w:rsidRPr="00F36B06">
        <w:rPr>
          <w:rFonts w:ascii="Times New Roman" w:hAnsi="Times New Roman" w:cs="Times New Roman"/>
        </w:rPr>
        <w:t xml:space="preserve"> pārējiem kreditoriem </w:t>
      </w:r>
      <w:r w:rsidR="00C51F05" w:rsidRPr="00F36B06">
        <w:rPr>
          <w:rFonts w:ascii="Times New Roman" w:hAnsi="Times New Roman" w:cs="Times New Roman"/>
        </w:rPr>
        <w:t xml:space="preserve">saņem no administratora paziņojumu par </w:t>
      </w:r>
      <w:r w:rsidR="00DA474E" w:rsidRPr="00F36B06">
        <w:rPr>
          <w:rFonts w:ascii="Times New Roman" w:hAnsi="Times New Roman" w:cs="Times New Roman"/>
        </w:rPr>
        <w:t>nodomu slēgt izlīgumu</w:t>
      </w:r>
      <w:r w:rsidR="0012404C" w:rsidRPr="00F36B06">
        <w:rPr>
          <w:rStyle w:val="FootnoteReference"/>
          <w:rFonts w:ascii="Times New Roman" w:hAnsi="Times New Roman" w:cs="Times New Roman"/>
        </w:rPr>
        <w:footnoteReference w:id="23"/>
      </w:r>
      <w:r w:rsidR="00DA474E" w:rsidRPr="00F36B06">
        <w:rPr>
          <w:rFonts w:ascii="Times New Roman" w:hAnsi="Times New Roman" w:cs="Times New Roman"/>
        </w:rPr>
        <w:t xml:space="preserve">. </w:t>
      </w:r>
      <w:r w:rsidR="0087316C" w:rsidRPr="00F36B06">
        <w:rPr>
          <w:rFonts w:ascii="Times New Roman" w:hAnsi="Times New Roman" w:cs="Times New Roman"/>
        </w:rPr>
        <w:t xml:space="preserve">Saņemot </w:t>
      </w:r>
      <w:r w:rsidR="00CA3CE0" w:rsidRPr="00F36B06">
        <w:rPr>
          <w:rFonts w:ascii="Times New Roman" w:hAnsi="Times New Roman" w:cs="Times New Roman"/>
        </w:rPr>
        <w:t>paziņojumu par nodomu slēgt izlīgumu, Maksātnespējas kontroles dienestam</w:t>
      </w:r>
      <w:r w:rsidR="00B26893" w:rsidRPr="00F36B06">
        <w:rPr>
          <w:rFonts w:ascii="Times New Roman" w:hAnsi="Times New Roman" w:cs="Times New Roman"/>
        </w:rPr>
        <w:t xml:space="preserve"> tāpat kā </w:t>
      </w:r>
      <w:r w:rsidR="006E327B" w:rsidRPr="00F36B06">
        <w:rPr>
          <w:rFonts w:ascii="Times New Roman" w:hAnsi="Times New Roman" w:cs="Times New Roman"/>
        </w:rPr>
        <w:t>jebkuram</w:t>
      </w:r>
      <w:r w:rsidR="00B26893" w:rsidRPr="00F36B06">
        <w:rPr>
          <w:rFonts w:ascii="Times New Roman" w:hAnsi="Times New Roman" w:cs="Times New Roman"/>
        </w:rPr>
        <w:t xml:space="preserve"> kreditor</w:t>
      </w:r>
      <w:r w:rsidR="008A6897" w:rsidRPr="00F36B06">
        <w:rPr>
          <w:rFonts w:ascii="Times New Roman" w:hAnsi="Times New Roman" w:cs="Times New Roman"/>
        </w:rPr>
        <w:t>a</w:t>
      </w:r>
      <w:r w:rsidR="00B26893" w:rsidRPr="00F36B06">
        <w:rPr>
          <w:rFonts w:ascii="Times New Roman" w:hAnsi="Times New Roman" w:cs="Times New Roman"/>
        </w:rPr>
        <w:t>m</w:t>
      </w:r>
      <w:r w:rsidR="00CA3CE0" w:rsidRPr="00F36B06">
        <w:rPr>
          <w:rFonts w:ascii="Times New Roman" w:hAnsi="Times New Roman" w:cs="Times New Roman"/>
        </w:rPr>
        <w:t xml:space="preserve"> </w:t>
      </w:r>
      <w:r w:rsidR="00B26893" w:rsidRPr="00F36B06">
        <w:rPr>
          <w:rFonts w:ascii="Times New Roman" w:hAnsi="Times New Roman" w:cs="Times New Roman"/>
        </w:rPr>
        <w:t>ir tiesības</w:t>
      </w:r>
      <w:r w:rsidR="006E327B" w:rsidRPr="00F36B06">
        <w:rPr>
          <w:rFonts w:ascii="Times New Roman" w:hAnsi="Times New Roman" w:cs="Times New Roman"/>
        </w:rPr>
        <w:t xml:space="preserve"> pieprasīt administratoram papildu informāciju vai</w:t>
      </w:r>
      <w:r w:rsidR="00B26893" w:rsidRPr="00F36B06">
        <w:rPr>
          <w:rFonts w:ascii="Times New Roman" w:hAnsi="Times New Roman" w:cs="Times New Roman"/>
        </w:rPr>
        <w:t xml:space="preserve"> sniegt </w:t>
      </w:r>
      <w:r w:rsidR="006E327B" w:rsidRPr="00F36B06">
        <w:rPr>
          <w:rFonts w:ascii="Times New Roman" w:hAnsi="Times New Roman" w:cs="Times New Roman"/>
        </w:rPr>
        <w:t>iebildumus</w:t>
      </w:r>
      <w:r w:rsidR="00A4724A" w:rsidRPr="00F36B06">
        <w:rPr>
          <w:rFonts w:ascii="Times New Roman" w:hAnsi="Times New Roman" w:cs="Times New Roman"/>
        </w:rPr>
        <w:t xml:space="preserve">. </w:t>
      </w:r>
    </w:p>
    <w:p w14:paraId="2F13A827" w14:textId="01A86DD2" w:rsidR="000A1867" w:rsidRPr="00F36B06" w:rsidRDefault="006E4002"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Vienā gadījumā Maksātnespējas kontroles dienests </w:t>
      </w:r>
      <w:r w:rsidR="00A4724A" w:rsidRPr="00F36B06">
        <w:rPr>
          <w:rFonts w:ascii="Times New Roman" w:hAnsi="Times New Roman" w:cs="Times New Roman"/>
        </w:rPr>
        <w:t>saņēma paziņojumu</w:t>
      </w:r>
      <w:r w:rsidR="00183012" w:rsidRPr="00F36B06">
        <w:rPr>
          <w:rFonts w:ascii="Times New Roman" w:hAnsi="Times New Roman" w:cs="Times New Roman"/>
        </w:rPr>
        <w:t xml:space="preserve"> par </w:t>
      </w:r>
      <w:r w:rsidR="00BF32D8" w:rsidRPr="00F36B06">
        <w:rPr>
          <w:rFonts w:ascii="Times New Roman" w:hAnsi="Times New Roman" w:cs="Times New Roman"/>
        </w:rPr>
        <w:t xml:space="preserve">administratora </w:t>
      </w:r>
      <w:r w:rsidR="00183012" w:rsidRPr="00F36B06">
        <w:rPr>
          <w:rFonts w:ascii="Times New Roman" w:hAnsi="Times New Roman" w:cs="Times New Roman"/>
        </w:rPr>
        <w:t>nodomu</w:t>
      </w:r>
      <w:r w:rsidR="00082820" w:rsidRPr="00F36B06">
        <w:rPr>
          <w:rFonts w:ascii="Times New Roman" w:hAnsi="Times New Roman" w:cs="Times New Roman"/>
        </w:rPr>
        <w:t xml:space="preserve"> </w:t>
      </w:r>
      <w:r w:rsidR="00BF32D8" w:rsidRPr="00F36B06">
        <w:rPr>
          <w:rFonts w:ascii="Times New Roman" w:hAnsi="Times New Roman" w:cs="Times New Roman"/>
        </w:rPr>
        <w:t>slēgt izlīgumu</w:t>
      </w:r>
      <w:r w:rsidR="00E82F0E" w:rsidRPr="00F36B06">
        <w:rPr>
          <w:rFonts w:ascii="Times New Roman" w:hAnsi="Times New Roman" w:cs="Times New Roman"/>
        </w:rPr>
        <w:t xml:space="preserve"> par summu, kas </w:t>
      </w:r>
      <w:r w:rsidR="00CE57C8" w:rsidRPr="00F36B06">
        <w:rPr>
          <w:rFonts w:ascii="Times New Roman" w:hAnsi="Times New Roman" w:cs="Times New Roman"/>
        </w:rPr>
        <w:t>bija</w:t>
      </w:r>
      <w:r w:rsidR="00E82F0E" w:rsidRPr="00F36B06">
        <w:rPr>
          <w:rFonts w:ascii="Times New Roman" w:hAnsi="Times New Roman" w:cs="Times New Roman"/>
        </w:rPr>
        <w:t xml:space="preserve"> 22</w:t>
      </w:r>
      <w:r w:rsidR="00106F02" w:rsidRPr="00F36B06">
        <w:rPr>
          <w:rFonts w:ascii="Times New Roman" w:hAnsi="Times New Roman" w:cs="Times New Roman"/>
        </w:rPr>
        <w:t> </w:t>
      </w:r>
      <w:r w:rsidR="00E82F0E" w:rsidRPr="00F36B06">
        <w:rPr>
          <w:rFonts w:ascii="Times New Roman" w:hAnsi="Times New Roman" w:cs="Times New Roman"/>
        </w:rPr>
        <w:t>% no prasījuma summas</w:t>
      </w:r>
      <w:r w:rsidR="006B367D" w:rsidRPr="00F36B06">
        <w:rPr>
          <w:rFonts w:ascii="Times New Roman" w:hAnsi="Times New Roman" w:cs="Times New Roman"/>
        </w:rPr>
        <w:t xml:space="preserve">, zaudējumu atlīdzības prasībā </w:t>
      </w:r>
      <w:r w:rsidR="006A2906" w:rsidRPr="00F36B06">
        <w:rPr>
          <w:rFonts w:ascii="Times New Roman" w:hAnsi="Times New Roman" w:cs="Times New Roman"/>
        </w:rPr>
        <w:t xml:space="preserve">pret parādnieka valdes locekli </w:t>
      </w:r>
      <w:r w:rsidR="00EC4B0E" w:rsidRPr="00F36B06">
        <w:rPr>
          <w:rFonts w:ascii="Times New Roman" w:hAnsi="Times New Roman" w:cs="Times New Roman"/>
        </w:rPr>
        <w:t xml:space="preserve">saistībā </w:t>
      </w:r>
      <w:r w:rsidR="00636C58" w:rsidRPr="00F36B06">
        <w:rPr>
          <w:rFonts w:ascii="Times New Roman" w:hAnsi="Times New Roman" w:cs="Times New Roman"/>
        </w:rPr>
        <w:t xml:space="preserve">ar </w:t>
      </w:r>
      <w:r w:rsidR="004A0F36" w:rsidRPr="00F36B06">
        <w:rPr>
          <w:rFonts w:ascii="Times New Roman" w:hAnsi="Times New Roman" w:cs="Times New Roman"/>
        </w:rPr>
        <w:t>VID</w:t>
      </w:r>
      <w:r w:rsidR="00636C58" w:rsidRPr="00F36B06">
        <w:rPr>
          <w:rFonts w:ascii="Times New Roman" w:hAnsi="Times New Roman" w:cs="Times New Roman"/>
        </w:rPr>
        <w:t xml:space="preserve"> veikto uzrēķinu. </w:t>
      </w:r>
      <w:r w:rsidR="00BD6022" w:rsidRPr="00F36B06">
        <w:rPr>
          <w:rFonts w:ascii="Times New Roman" w:hAnsi="Times New Roman" w:cs="Times New Roman"/>
        </w:rPr>
        <w:t xml:space="preserve">Kā pamatojums izlīguma </w:t>
      </w:r>
      <w:r w:rsidR="005E74F5" w:rsidRPr="00F36B06">
        <w:rPr>
          <w:rFonts w:ascii="Times New Roman" w:hAnsi="Times New Roman" w:cs="Times New Roman"/>
        </w:rPr>
        <w:t>slēgšanai bija norādīt</w:t>
      </w:r>
      <w:r w:rsidR="00C17074" w:rsidRPr="00F36B06">
        <w:rPr>
          <w:rFonts w:ascii="Times New Roman" w:hAnsi="Times New Roman" w:cs="Times New Roman"/>
        </w:rPr>
        <w:t>s, ka</w:t>
      </w:r>
      <w:r w:rsidR="002425D4" w:rsidRPr="00F36B06">
        <w:rPr>
          <w:rFonts w:ascii="Times New Roman" w:hAnsi="Times New Roman" w:cs="Times New Roman"/>
        </w:rPr>
        <w:t xml:space="preserve"> </w:t>
      </w:r>
      <w:r w:rsidR="00EC3748" w:rsidRPr="00F36B06">
        <w:rPr>
          <w:rFonts w:ascii="Times New Roman" w:hAnsi="Times New Roman" w:cs="Times New Roman"/>
        </w:rPr>
        <w:t>tiesvedības ilgu</w:t>
      </w:r>
      <w:r w:rsidR="002425D4" w:rsidRPr="00F36B06">
        <w:rPr>
          <w:rFonts w:ascii="Times New Roman" w:hAnsi="Times New Roman" w:cs="Times New Roman"/>
        </w:rPr>
        <w:t>m</w:t>
      </w:r>
      <w:r w:rsidR="00C17074" w:rsidRPr="00F36B06">
        <w:rPr>
          <w:rFonts w:ascii="Times New Roman" w:hAnsi="Times New Roman" w:cs="Times New Roman"/>
        </w:rPr>
        <w:t>a</w:t>
      </w:r>
      <w:r w:rsidR="00727B49" w:rsidRPr="00F36B06">
        <w:rPr>
          <w:rFonts w:ascii="Times New Roman" w:hAnsi="Times New Roman" w:cs="Times New Roman"/>
        </w:rPr>
        <w:t xml:space="preserve"> un tiesā</w:t>
      </w:r>
      <w:r w:rsidR="00715AA9" w:rsidRPr="00F36B06">
        <w:rPr>
          <w:rFonts w:ascii="Times New Roman" w:hAnsi="Times New Roman" w:cs="Times New Roman"/>
        </w:rPr>
        <w:t>šanās izdevum</w:t>
      </w:r>
      <w:r w:rsidR="00DE28B3" w:rsidRPr="00F36B06">
        <w:rPr>
          <w:rFonts w:ascii="Times New Roman" w:hAnsi="Times New Roman" w:cs="Times New Roman"/>
        </w:rPr>
        <w:t xml:space="preserve">u </w:t>
      </w:r>
      <w:r w:rsidR="00715AA9" w:rsidRPr="00F36B06">
        <w:rPr>
          <w:rFonts w:ascii="Times New Roman" w:hAnsi="Times New Roman" w:cs="Times New Roman"/>
        </w:rPr>
        <w:t xml:space="preserve">segšanas </w:t>
      </w:r>
      <w:r w:rsidR="00DE28B3" w:rsidRPr="00F36B06">
        <w:rPr>
          <w:rFonts w:ascii="Times New Roman" w:hAnsi="Times New Roman" w:cs="Times New Roman"/>
        </w:rPr>
        <w:t xml:space="preserve">dēļ </w:t>
      </w:r>
      <w:r w:rsidR="00715AA9" w:rsidRPr="00F36B06">
        <w:rPr>
          <w:rFonts w:ascii="Times New Roman" w:hAnsi="Times New Roman" w:cs="Times New Roman"/>
        </w:rPr>
        <w:t xml:space="preserve">kreditoru ieguvums </w:t>
      </w:r>
      <w:r w:rsidR="00DE28B3" w:rsidRPr="00F36B06">
        <w:rPr>
          <w:rFonts w:ascii="Times New Roman" w:hAnsi="Times New Roman" w:cs="Times New Roman"/>
        </w:rPr>
        <w:t xml:space="preserve">no tiesvedības procesa turpināšanas </w:t>
      </w:r>
      <w:r w:rsidR="00715AA9" w:rsidRPr="00F36B06">
        <w:rPr>
          <w:rFonts w:ascii="Times New Roman" w:hAnsi="Times New Roman" w:cs="Times New Roman"/>
        </w:rPr>
        <w:t xml:space="preserve">būs </w:t>
      </w:r>
      <w:r w:rsidR="00C11573" w:rsidRPr="00F36B06">
        <w:rPr>
          <w:rFonts w:ascii="Times New Roman" w:hAnsi="Times New Roman" w:cs="Times New Roman"/>
        </w:rPr>
        <w:t>mazāks</w:t>
      </w:r>
      <w:r w:rsidR="00C17074" w:rsidRPr="00F36B06">
        <w:rPr>
          <w:rFonts w:ascii="Times New Roman" w:hAnsi="Times New Roman" w:cs="Times New Roman"/>
        </w:rPr>
        <w:t>,</w:t>
      </w:r>
      <w:r w:rsidR="00C11573" w:rsidRPr="00F36B06">
        <w:rPr>
          <w:rFonts w:ascii="Times New Roman" w:hAnsi="Times New Roman" w:cs="Times New Roman"/>
        </w:rPr>
        <w:t xml:space="preserve"> nekā izlīguma noslēgšanas gadījumā</w:t>
      </w:r>
      <w:r w:rsidR="009B5F80" w:rsidRPr="00F36B06">
        <w:rPr>
          <w:rFonts w:ascii="Times New Roman" w:hAnsi="Times New Roman" w:cs="Times New Roman"/>
        </w:rPr>
        <w:t xml:space="preserve">. Tāpat </w:t>
      </w:r>
      <w:r w:rsidR="00410881" w:rsidRPr="00F36B06">
        <w:rPr>
          <w:rFonts w:ascii="Times New Roman" w:hAnsi="Times New Roman" w:cs="Times New Roman"/>
        </w:rPr>
        <w:t>administrators norādīja</w:t>
      </w:r>
      <w:r w:rsidR="009B5F80" w:rsidRPr="00F36B06">
        <w:rPr>
          <w:rFonts w:ascii="Times New Roman" w:hAnsi="Times New Roman" w:cs="Times New Roman"/>
        </w:rPr>
        <w:t>, ka</w:t>
      </w:r>
      <w:r w:rsidR="00481009" w:rsidRPr="00F36B06">
        <w:rPr>
          <w:rFonts w:ascii="Times New Roman" w:hAnsi="Times New Roman" w:cs="Times New Roman"/>
        </w:rPr>
        <w:t xml:space="preserve"> celtā</w:t>
      </w:r>
      <w:r w:rsidR="009B5F80" w:rsidRPr="00F36B06">
        <w:rPr>
          <w:rFonts w:ascii="Times New Roman" w:hAnsi="Times New Roman" w:cs="Times New Roman"/>
        </w:rPr>
        <w:t xml:space="preserve"> </w:t>
      </w:r>
      <w:r w:rsidR="00481009" w:rsidRPr="00F36B06">
        <w:rPr>
          <w:rFonts w:ascii="Times New Roman" w:hAnsi="Times New Roman" w:cs="Times New Roman"/>
        </w:rPr>
        <w:t>prasība pret valdes locekli ir nodrošināta</w:t>
      </w:r>
      <w:r w:rsidR="00DC2C55" w:rsidRPr="00F36B06">
        <w:rPr>
          <w:rFonts w:ascii="Times New Roman" w:hAnsi="Times New Roman" w:cs="Times New Roman"/>
        </w:rPr>
        <w:t xml:space="preserve"> ar nekust</w:t>
      </w:r>
      <w:r w:rsidR="00106F02" w:rsidRPr="00F36B06">
        <w:rPr>
          <w:rFonts w:ascii="Times New Roman" w:hAnsi="Times New Roman" w:cs="Times New Roman"/>
        </w:rPr>
        <w:t>a</w:t>
      </w:r>
      <w:r w:rsidR="00DC2C55" w:rsidRPr="00F36B06">
        <w:rPr>
          <w:rFonts w:ascii="Times New Roman" w:hAnsi="Times New Roman" w:cs="Times New Roman"/>
        </w:rPr>
        <w:t xml:space="preserve">mo īpašumu, tomēr šis </w:t>
      </w:r>
      <w:r w:rsidR="00793641" w:rsidRPr="00F36B06">
        <w:rPr>
          <w:rFonts w:ascii="Times New Roman" w:hAnsi="Times New Roman" w:cs="Times New Roman"/>
        </w:rPr>
        <w:t xml:space="preserve">īpašums </w:t>
      </w:r>
      <w:r w:rsidR="00DC2C55" w:rsidRPr="00F36B06">
        <w:rPr>
          <w:rFonts w:ascii="Times New Roman" w:hAnsi="Times New Roman" w:cs="Times New Roman"/>
        </w:rPr>
        <w:t>ir ieķīlāt</w:t>
      </w:r>
      <w:r w:rsidR="00E10D9B" w:rsidRPr="00F36B06">
        <w:rPr>
          <w:rFonts w:ascii="Times New Roman" w:hAnsi="Times New Roman" w:cs="Times New Roman"/>
        </w:rPr>
        <w:t>s</w:t>
      </w:r>
      <w:r w:rsidR="00DC2C55" w:rsidRPr="00F36B06">
        <w:rPr>
          <w:rFonts w:ascii="Times New Roman" w:hAnsi="Times New Roman" w:cs="Times New Roman"/>
        </w:rPr>
        <w:t>,</w:t>
      </w:r>
      <w:r w:rsidR="00793641" w:rsidRPr="00F36B06">
        <w:rPr>
          <w:rFonts w:ascii="Times New Roman" w:hAnsi="Times New Roman" w:cs="Times New Roman"/>
        </w:rPr>
        <w:t xml:space="preserve"> kā rezultātā</w:t>
      </w:r>
      <w:r w:rsidR="00E10D9B" w:rsidRPr="00F36B06">
        <w:rPr>
          <w:rFonts w:ascii="Times New Roman" w:hAnsi="Times New Roman" w:cs="Times New Roman"/>
        </w:rPr>
        <w:t xml:space="preserve"> prasības nodrošinājuma </w:t>
      </w:r>
      <w:r w:rsidR="00FF3427" w:rsidRPr="00F36B06">
        <w:rPr>
          <w:rFonts w:ascii="Times New Roman" w:hAnsi="Times New Roman" w:cs="Times New Roman"/>
        </w:rPr>
        <w:t xml:space="preserve">pārdošanas </w:t>
      </w:r>
      <w:r w:rsidR="004713DF" w:rsidRPr="00F36B06">
        <w:rPr>
          <w:rFonts w:ascii="Times New Roman" w:hAnsi="Times New Roman" w:cs="Times New Roman"/>
        </w:rPr>
        <w:t xml:space="preserve">rezultātā diez vai izdosies </w:t>
      </w:r>
      <w:r w:rsidR="00DA7585" w:rsidRPr="00F36B06">
        <w:rPr>
          <w:rFonts w:ascii="Times New Roman" w:hAnsi="Times New Roman" w:cs="Times New Roman"/>
        </w:rPr>
        <w:t>iegūt līdzekļus prasījuma apmierināšanai</w:t>
      </w:r>
      <w:r w:rsidR="00C11573" w:rsidRPr="00F36B06">
        <w:rPr>
          <w:rFonts w:ascii="Times New Roman" w:hAnsi="Times New Roman" w:cs="Times New Roman"/>
        </w:rPr>
        <w:t xml:space="preserve">. </w:t>
      </w:r>
      <w:r w:rsidR="00E924C6" w:rsidRPr="00F36B06">
        <w:rPr>
          <w:rFonts w:ascii="Times New Roman" w:hAnsi="Times New Roman" w:cs="Times New Roman"/>
        </w:rPr>
        <w:t xml:space="preserve">Saņemot </w:t>
      </w:r>
      <w:r w:rsidR="00D73D3C" w:rsidRPr="00F36B06">
        <w:rPr>
          <w:rFonts w:ascii="Times New Roman" w:hAnsi="Times New Roman" w:cs="Times New Roman"/>
        </w:rPr>
        <w:t xml:space="preserve">paziņojumu, </w:t>
      </w:r>
      <w:r w:rsidR="00E924C6" w:rsidRPr="00F36B06">
        <w:rPr>
          <w:rFonts w:ascii="Times New Roman" w:hAnsi="Times New Roman" w:cs="Times New Roman"/>
        </w:rPr>
        <w:t>Maksātnespējas kontroles dienest</w:t>
      </w:r>
      <w:r w:rsidR="00D73D3C" w:rsidRPr="00F36B06">
        <w:rPr>
          <w:rFonts w:ascii="Times New Roman" w:hAnsi="Times New Roman" w:cs="Times New Roman"/>
        </w:rPr>
        <w:t>s lūdz</w:t>
      </w:r>
      <w:r w:rsidR="00106F02" w:rsidRPr="00F36B06">
        <w:rPr>
          <w:rFonts w:ascii="Times New Roman" w:hAnsi="Times New Roman" w:cs="Times New Roman"/>
        </w:rPr>
        <w:t>a</w:t>
      </w:r>
      <w:r w:rsidR="00D73D3C" w:rsidRPr="00F36B06">
        <w:rPr>
          <w:rFonts w:ascii="Times New Roman" w:hAnsi="Times New Roman" w:cs="Times New Roman"/>
        </w:rPr>
        <w:t xml:space="preserve"> sniegt informāciju</w:t>
      </w:r>
      <w:r w:rsidR="00306817" w:rsidRPr="00F36B06">
        <w:rPr>
          <w:rFonts w:ascii="Times New Roman" w:hAnsi="Times New Roman" w:cs="Times New Roman"/>
        </w:rPr>
        <w:t xml:space="preserve"> par </w:t>
      </w:r>
      <w:r w:rsidR="0063201A" w:rsidRPr="00F36B06">
        <w:rPr>
          <w:rFonts w:ascii="Times New Roman" w:hAnsi="Times New Roman" w:cs="Times New Roman"/>
        </w:rPr>
        <w:t>personas</w:t>
      </w:r>
      <w:r w:rsidR="00981597" w:rsidRPr="00F36B06">
        <w:rPr>
          <w:rFonts w:ascii="Times New Roman" w:hAnsi="Times New Roman" w:cs="Times New Roman"/>
        </w:rPr>
        <w:t xml:space="preserve"> </w:t>
      </w:r>
      <w:r w:rsidR="00891C8C" w:rsidRPr="00F36B06">
        <w:rPr>
          <w:rFonts w:ascii="Times New Roman" w:hAnsi="Times New Roman" w:cs="Times New Roman"/>
        </w:rPr>
        <w:t>mantisko stāvokli</w:t>
      </w:r>
      <w:r w:rsidR="004B4BF2" w:rsidRPr="00F36B06">
        <w:rPr>
          <w:rFonts w:ascii="Times New Roman" w:hAnsi="Times New Roman" w:cs="Times New Roman"/>
        </w:rPr>
        <w:t xml:space="preserve">. </w:t>
      </w:r>
      <w:r w:rsidR="00AF227D" w:rsidRPr="00F36B06">
        <w:rPr>
          <w:rFonts w:ascii="Times New Roman" w:hAnsi="Times New Roman" w:cs="Times New Roman"/>
        </w:rPr>
        <w:t>A</w:t>
      </w:r>
      <w:r w:rsidR="00EF7591" w:rsidRPr="00F36B06">
        <w:rPr>
          <w:rFonts w:ascii="Times New Roman" w:hAnsi="Times New Roman" w:cs="Times New Roman"/>
        </w:rPr>
        <w:t xml:space="preserve">dministrators sniedza pieprasīto </w:t>
      </w:r>
      <w:r w:rsidR="00C418BB" w:rsidRPr="00F36B06">
        <w:rPr>
          <w:rFonts w:ascii="Times New Roman" w:hAnsi="Times New Roman" w:cs="Times New Roman"/>
        </w:rPr>
        <w:t xml:space="preserve">informāciju, </w:t>
      </w:r>
      <w:r w:rsidR="00C333F7" w:rsidRPr="00F36B06">
        <w:rPr>
          <w:rFonts w:ascii="Times New Roman" w:hAnsi="Times New Roman" w:cs="Times New Roman"/>
        </w:rPr>
        <w:t xml:space="preserve">vienlaikus </w:t>
      </w:r>
      <w:r w:rsidR="00755593" w:rsidRPr="00F36B06">
        <w:rPr>
          <w:rFonts w:ascii="Times New Roman" w:hAnsi="Times New Roman" w:cs="Times New Roman"/>
        </w:rPr>
        <w:t>informējot par nodomu slēgt izlīgumu par summu,</w:t>
      </w:r>
      <w:r w:rsidR="0064734B" w:rsidRPr="00F36B06">
        <w:rPr>
          <w:rFonts w:ascii="Times New Roman" w:hAnsi="Times New Roman" w:cs="Times New Roman"/>
        </w:rPr>
        <w:t xml:space="preserve"> kas sastāda 33</w:t>
      </w:r>
      <w:r w:rsidR="00395406" w:rsidRPr="00F36B06">
        <w:rPr>
          <w:rFonts w:ascii="Times New Roman" w:hAnsi="Times New Roman" w:cs="Times New Roman"/>
        </w:rPr>
        <w:t> </w:t>
      </w:r>
      <w:r w:rsidR="0064734B" w:rsidRPr="00F36B06">
        <w:rPr>
          <w:rFonts w:ascii="Times New Roman" w:hAnsi="Times New Roman" w:cs="Times New Roman"/>
        </w:rPr>
        <w:t>% no prasī</w:t>
      </w:r>
      <w:r w:rsidR="00A64A7A" w:rsidRPr="00F36B06">
        <w:rPr>
          <w:rFonts w:ascii="Times New Roman" w:hAnsi="Times New Roman" w:cs="Times New Roman"/>
        </w:rPr>
        <w:t>bas summas.</w:t>
      </w:r>
      <w:r w:rsidR="00755593" w:rsidRPr="00F36B06">
        <w:rPr>
          <w:rFonts w:ascii="Times New Roman" w:hAnsi="Times New Roman" w:cs="Times New Roman"/>
        </w:rPr>
        <w:t xml:space="preserve"> Izvērtējot sniegto informāciju, </w:t>
      </w:r>
      <w:r w:rsidR="005E2146" w:rsidRPr="00F36B06">
        <w:rPr>
          <w:rFonts w:ascii="Times New Roman" w:hAnsi="Times New Roman" w:cs="Times New Roman"/>
        </w:rPr>
        <w:t>Maksā</w:t>
      </w:r>
      <w:r w:rsidR="001523D8" w:rsidRPr="00F36B06">
        <w:rPr>
          <w:rFonts w:ascii="Times New Roman" w:hAnsi="Times New Roman" w:cs="Times New Roman"/>
        </w:rPr>
        <w:t xml:space="preserve">tnespējas kontroles dienests </w:t>
      </w:r>
      <w:r w:rsidR="00860A80" w:rsidRPr="00F36B06">
        <w:rPr>
          <w:rFonts w:ascii="Times New Roman" w:hAnsi="Times New Roman" w:cs="Times New Roman"/>
        </w:rPr>
        <w:t xml:space="preserve">necēla iebildumus </w:t>
      </w:r>
      <w:r w:rsidR="0041124D" w:rsidRPr="00F36B06">
        <w:rPr>
          <w:rFonts w:ascii="Times New Roman" w:hAnsi="Times New Roman" w:cs="Times New Roman"/>
        </w:rPr>
        <w:t>pret</w:t>
      </w:r>
      <w:r w:rsidR="00860A80" w:rsidRPr="00F36B06">
        <w:rPr>
          <w:rFonts w:ascii="Times New Roman" w:hAnsi="Times New Roman" w:cs="Times New Roman"/>
        </w:rPr>
        <w:t xml:space="preserve"> </w:t>
      </w:r>
      <w:r w:rsidR="001523D8" w:rsidRPr="00F36B06">
        <w:rPr>
          <w:rFonts w:ascii="Times New Roman" w:hAnsi="Times New Roman" w:cs="Times New Roman"/>
        </w:rPr>
        <w:t>izlīguma slēgšan</w:t>
      </w:r>
      <w:r w:rsidR="00860A80" w:rsidRPr="00F36B06">
        <w:rPr>
          <w:rFonts w:ascii="Times New Roman" w:hAnsi="Times New Roman" w:cs="Times New Roman"/>
        </w:rPr>
        <w:t>u</w:t>
      </w:r>
      <w:r w:rsidR="001523D8" w:rsidRPr="00F36B06">
        <w:rPr>
          <w:rFonts w:ascii="Times New Roman" w:hAnsi="Times New Roman" w:cs="Times New Roman"/>
        </w:rPr>
        <w:t>.</w:t>
      </w:r>
      <w:r w:rsidR="00306817" w:rsidRPr="00F36B06">
        <w:rPr>
          <w:rFonts w:ascii="Times New Roman" w:hAnsi="Times New Roman" w:cs="Times New Roman"/>
        </w:rPr>
        <w:t xml:space="preserve"> </w:t>
      </w:r>
      <w:r w:rsidR="00C9270C" w:rsidRPr="00F36B06">
        <w:rPr>
          <w:rFonts w:ascii="Times New Roman" w:hAnsi="Times New Roman" w:cs="Times New Roman"/>
        </w:rPr>
        <w:t xml:space="preserve">Savukārt vēl vienā gadījumā </w:t>
      </w:r>
      <w:r w:rsidR="007A1515" w:rsidRPr="00F36B06">
        <w:rPr>
          <w:rFonts w:ascii="Times New Roman" w:hAnsi="Times New Roman" w:cs="Times New Roman"/>
        </w:rPr>
        <w:t xml:space="preserve">Maksātnespējas kontroles dienestā jau sākotnēji tika saņemts </w:t>
      </w:r>
      <w:r w:rsidR="00410D8E" w:rsidRPr="00F36B06">
        <w:rPr>
          <w:rFonts w:ascii="Times New Roman" w:hAnsi="Times New Roman" w:cs="Times New Roman"/>
        </w:rPr>
        <w:t>paziņojums par nodomu slēgt izlīgumu par summu</w:t>
      </w:r>
      <w:r w:rsidR="00530B99" w:rsidRPr="00F36B06">
        <w:rPr>
          <w:rFonts w:ascii="Times New Roman" w:hAnsi="Times New Roman" w:cs="Times New Roman"/>
        </w:rPr>
        <w:t>, kas sastāda 60</w:t>
      </w:r>
      <w:r w:rsidR="00E958E4" w:rsidRPr="00F36B06">
        <w:rPr>
          <w:rFonts w:ascii="Times New Roman" w:hAnsi="Times New Roman" w:cs="Times New Roman"/>
        </w:rPr>
        <w:t> </w:t>
      </w:r>
      <w:r w:rsidR="00530B99" w:rsidRPr="00F36B06">
        <w:rPr>
          <w:rFonts w:ascii="Times New Roman" w:hAnsi="Times New Roman" w:cs="Times New Roman"/>
        </w:rPr>
        <w:t>% no prasības summas. Izvērtējot faktiskos a</w:t>
      </w:r>
      <w:r w:rsidR="002A6809" w:rsidRPr="00F36B06">
        <w:rPr>
          <w:rFonts w:ascii="Times New Roman" w:hAnsi="Times New Roman" w:cs="Times New Roman"/>
        </w:rPr>
        <w:t xml:space="preserve">pstākļus, Maksātnespējas kontroles dienests </w:t>
      </w:r>
      <w:r w:rsidR="0041124D" w:rsidRPr="00F36B06">
        <w:rPr>
          <w:rFonts w:ascii="Times New Roman" w:hAnsi="Times New Roman" w:cs="Times New Roman"/>
        </w:rPr>
        <w:t>necēla iebildumus pret izlīguma slēgšanu</w:t>
      </w:r>
      <w:r w:rsidR="0028095A" w:rsidRPr="00F36B06">
        <w:rPr>
          <w:rFonts w:ascii="Times New Roman" w:hAnsi="Times New Roman" w:cs="Times New Roman"/>
        </w:rPr>
        <w:t>.</w:t>
      </w:r>
    </w:p>
    <w:p w14:paraId="1BA6B780" w14:textId="1236D2F0" w:rsidR="00344FE0" w:rsidRPr="00F36B06" w:rsidRDefault="006B78FA" w:rsidP="001E3515">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Līdz ar to</w:t>
      </w:r>
      <w:r w:rsidR="00344FE0" w:rsidRPr="00F36B06">
        <w:rPr>
          <w:rFonts w:ascii="Times New Roman" w:hAnsi="Times New Roman" w:cs="Times New Roman"/>
        </w:rPr>
        <w:t xml:space="preserve"> var secināt, ka </w:t>
      </w:r>
      <w:r w:rsidR="00116AF8" w:rsidRPr="00F36B06">
        <w:rPr>
          <w:rFonts w:ascii="Times New Roman" w:hAnsi="Times New Roman" w:cs="Times New Roman"/>
        </w:rPr>
        <w:t>iz</w:t>
      </w:r>
      <w:r w:rsidR="00543C70" w:rsidRPr="00F36B06">
        <w:rPr>
          <w:rFonts w:ascii="Times New Roman" w:hAnsi="Times New Roman" w:cs="Times New Roman"/>
        </w:rPr>
        <w:t xml:space="preserve">līguma </w:t>
      </w:r>
      <w:r w:rsidR="002B177A" w:rsidRPr="00F36B06">
        <w:rPr>
          <w:rFonts w:ascii="Times New Roman" w:hAnsi="Times New Roman" w:cs="Times New Roman"/>
        </w:rPr>
        <w:t xml:space="preserve">noslēgšanas </w:t>
      </w:r>
      <w:r w:rsidR="000C6CD9" w:rsidRPr="00F36B06">
        <w:rPr>
          <w:rFonts w:ascii="Times New Roman" w:hAnsi="Times New Roman" w:cs="Times New Roman"/>
        </w:rPr>
        <w:t xml:space="preserve">procesā </w:t>
      </w:r>
      <w:r w:rsidR="001E3515" w:rsidRPr="00F36B06">
        <w:rPr>
          <w:rFonts w:ascii="Times New Roman" w:hAnsi="Times New Roman" w:cs="Times New Roman"/>
        </w:rPr>
        <w:t>ir būtiska kredi</w:t>
      </w:r>
      <w:r w:rsidR="002B0EB1" w:rsidRPr="00F36B06">
        <w:rPr>
          <w:rFonts w:ascii="Times New Roman" w:hAnsi="Times New Roman" w:cs="Times New Roman"/>
        </w:rPr>
        <w:t>toru kontrole</w:t>
      </w:r>
      <w:r w:rsidR="00A514AD" w:rsidRPr="00F36B06">
        <w:rPr>
          <w:rFonts w:ascii="Times New Roman" w:hAnsi="Times New Roman" w:cs="Times New Roman"/>
        </w:rPr>
        <w:t xml:space="preserve">, kas neapšaubāmi prasa </w:t>
      </w:r>
      <w:r w:rsidR="003E405A" w:rsidRPr="00F36B06">
        <w:rPr>
          <w:rFonts w:ascii="Times New Roman" w:hAnsi="Times New Roman" w:cs="Times New Roman"/>
        </w:rPr>
        <w:t>zināmus resursus</w:t>
      </w:r>
      <w:r w:rsidR="00DB6F70" w:rsidRPr="00F36B06">
        <w:rPr>
          <w:rFonts w:ascii="Times New Roman" w:hAnsi="Times New Roman" w:cs="Times New Roman"/>
        </w:rPr>
        <w:t>,</w:t>
      </w:r>
      <w:r w:rsidR="003D2C9A" w:rsidRPr="00F36B06">
        <w:rPr>
          <w:rFonts w:ascii="Times New Roman" w:hAnsi="Times New Roman" w:cs="Times New Roman"/>
        </w:rPr>
        <w:t xml:space="preserve"> kas </w:t>
      </w:r>
      <w:r w:rsidR="00213E96" w:rsidRPr="00F36B06">
        <w:rPr>
          <w:rFonts w:ascii="Times New Roman" w:hAnsi="Times New Roman" w:cs="Times New Roman"/>
        </w:rPr>
        <w:t xml:space="preserve">savukārt </w:t>
      </w:r>
      <w:r w:rsidR="003D2C9A" w:rsidRPr="00F36B06">
        <w:rPr>
          <w:rFonts w:ascii="Times New Roman" w:hAnsi="Times New Roman" w:cs="Times New Roman"/>
        </w:rPr>
        <w:t xml:space="preserve">ietekmē </w:t>
      </w:r>
      <w:r w:rsidR="00141DB7" w:rsidRPr="00F36B06">
        <w:rPr>
          <w:rFonts w:ascii="Times New Roman" w:hAnsi="Times New Roman" w:cs="Times New Roman"/>
        </w:rPr>
        <w:t xml:space="preserve">kreditoru </w:t>
      </w:r>
      <w:r w:rsidR="001050B5" w:rsidRPr="00F36B06">
        <w:rPr>
          <w:rFonts w:ascii="Times New Roman" w:hAnsi="Times New Roman" w:cs="Times New Roman"/>
        </w:rPr>
        <w:t xml:space="preserve">(īpaši mazo un vidējo uzņēmumu) </w:t>
      </w:r>
      <w:r w:rsidR="00213E96" w:rsidRPr="00F36B06">
        <w:rPr>
          <w:rFonts w:ascii="Times New Roman" w:hAnsi="Times New Roman" w:cs="Times New Roman"/>
        </w:rPr>
        <w:t>iespējas</w:t>
      </w:r>
      <w:r w:rsidR="001A561A" w:rsidRPr="00F36B06">
        <w:rPr>
          <w:rFonts w:ascii="Times New Roman" w:hAnsi="Times New Roman" w:cs="Times New Roman"/>
        </w:rPr>
        <w:t xml:space="preserve"> </w:t>
      </w:r>
      <w:r w:rsidR="00141DB7" w:rsidRPr="00F36B06">
        <w:rPr>
          <w:rFonts w:ascii="Times New Roman" w:hAnsi="Times New Roman" w:cs="Times New Roman"/>
        </w:rPr>
        <w:t xml:space="preserve">iesaistīties </w:t>
      </w:r>
      <w:r w:rsidR="001A561A" w:rsidRPr="00F36B06">
        <w:rPr>
          <w:rFonts w:ascii="Times New Roman" w:hAnsi="Times New Roman" w:cs="Times New Roman"/>
        </w:rPr>
        <w:t>šajā procesā.</w:t>
      </w:r>
    </w:p>
    <w:p w14:paraId="265EC2AA" w14:textId="11603175" w:rsidR="00940160" w:rsidRPr="00F36B06" w:rsidRDefault="00C1408C" w:rsidP="00940160">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lastRenderedPageBreak/>
        <w:t xml:space="preserve">Vienlaikus attiecībā uz izlīgumu būtiski </w:t>
      </w:r>
      <w:r w:rsidR="00755D18" w:rsidRPr="00F36B06">
        <w:rPr>
          <w:rFonts w:ascii="Times New Roman" w:hAnsi="Times New Roman" w:cs="Times New Roman"/>
        </w:rPr>
        <w:t>norādīt</w:t>
      </w:r>
      <w:r w:rsidRPr="00F36B06">
        <w:rPr>
          <w:rFonts w:ascii="Times New Roman" w:hAnsi="Times New Roman" w:cs="Times New Roman"/>
        </w:rPr>
        <w:t>, ka</w:t>
      </w:r>
      <w:r w:rsidR="00396913" w:rsidRPr="00F36B06">
        <w:rPr>
          <w:rFonts w:ascii="Times New Roman" w:hAnsi="Times New Roman" w:cs="Times New Roman"/>
        </w:rPr>
        <w:t xml:space="preserve"> no valdes locekļu puses</w:t>
      </w:r>
      <w:r w:rsidRPr="00F36B06">
        <w:rPr>
          <w:rFonts w:ascii="Times New Roman" w:hAnsi="Times New Roman" w:cs="Times New Roman"/>
        </w:rPr>
        <w:t xml:space="preserve"> izlīguma iespēja </w:t>
      </w:r>
      <w:r w:rsidR="00396913" w:rsidRPr="00F36B06">
        <w:rPr>
          <w:rFonts w:ascii="Times New Roman" w:hAnsi="Times New Roman" w:cs="Times New Roman"/>
        </w:rPr>
        <w:t xml:space="preserve">bieži vien tiek </w:t>
      </w:r>
      <w:r w:rsidR="00696B9E" w:rsidRPr="00F36B06">
        <w:rPr>
          <w:rFonts w:ascii="Times New Roman" w:hAnsi="Times New Roman" w:cs="Times New Roman"/>
        </w:rPr>
        <w:t>piedāvāta brīdī</w:t>
      </w:r>
      <w:r w:rsidR="008A644D" w:rsidRPr="00F36B06">
        <w:rPr>
          <w:rFonts w:ascii="Times New Roman" w:hAnsi="Times New Roman" w:cs="Times New Roman"/>
        </w:rPr>
        <w:t xml:space="preserve">, kad administrators paziņo par </w:t>
      </w:r>
      <w:r w:rsidR="00544360" w:rsidRPr="00F36B06">
        <w:rPr>
          <w:rFonts w:ascii="Times New Roman" w:hAnsi="Times New Roman" w:cs="Times New Roman"/>
        </w:rPr>
        <w:t xml:space="preserve">savu </w:t>
      </w:r>
      <w:r w:rsidR="008A644D" w:rsidRPr="00F36B06">
        <w:rPr>
          <w:rFonts w:ascii="Times New Roman" w:hAnsi="Times New Roman" w:cs="Times New Roman"/>
        </w:rPr>
        <w:t>nodomu celt prasību</w:t>
      </w:r>
      <w:r w:rsidR="00A27AB0" w:rsidRPr="00F36B06">
        <w:rPr>
          <w:rFonts w:ascii="Times New Roman" w:hAnsi="Times New Roman" w:cs="Times New Roman"/>
        </w:rPr>
        <w:t>.</w:t>
      </w:r>
      <w:r w:rsidR="008A644D" w:rsidRPr="00F36B06">
        <w:rPr>
          <w:rFonts w:ascii="Times New Roman" w:hAnsi="Times New Roman" w:cs="Times New Roman"/>
        </w:rPr>
        <w:t xml:space="preserve"> </w:t>
      </w:r>
      <w:r w:rsidR="00F73671" w:rsidRPr="00F36B06">
        <w:rPr>
          <w:rFonts w:ascii="Times New Roman" w:hAnsi="Times New Roman" w:cs="Times New Roman"/>
        </w:rPr>
        <w:t xml:space="preserve">Ja izlīgums </w:t>
      </w:r>
      <w:r w:rsidR="006362E1" w:rsidRPr="00F36B06">
        <w:rPr>
          <w:rFonts w:ascii="Times New Roman" w:hAnsi="Times New Roman" w:cs="Times New Roman"/>
        </w:rPr>
        <w:t>tiek noslēgts</w:t>
      </w:r>
      <w:r w:rsidR="00CE301C" w:rsidRPr="00F36B06">
        <w:rPr>
          <w:rFonts w:ascii="Times New Roman" w:hAnsi="Times New Roman" w:cs="Times New Roman"/>
        </w:rPr>
        <w:t xml:space="preserve"> un</w:t>
      </w:r>
      <w:r w:rsidR="00BC79CE" w:rsidRPr="00F36B06">
        <w:rPr>
          <w:rFonts w:ascii="Times New Roman" w:hAnsi="Times New Roman" w:cs="Times New Roman"/>
        </w:rPr>
        <w:t xml:space="preserve"> prasība netiek celta</w:t>
      </w:r>
      <w:r w:rsidR="001A67C8" w:rsidRPr="00F36B06">
        <w:rPr>
          <w:rFonts w:ascii="Times New Roman" w:hAnsi="Times New Roman" w:cs="Times New Roman"/>
        </w:rPr>
        <w:t>, pēc maksātnes</w:t>
      </w:r>
      <w:r w:rsidR="00544360" w:rsidRPr="00F36B06">
        <w:rPr>
          <w:rFonts w:ascii="Times New Roman" w:hAnsi="Times New Roman" w:cs="Times New Roman"/>
        </w:rPr>
        <w:t xml:space="preserve">pējas procesa </w:t>
      </w:r>
      <w:r w:rsidR="00601D6B" w:rsidRPr="00F36B06">
        <w:rPr>
          <w:rFonts w:ascii="Times New Roman" w:hAnsi="Times New Roman" w:cs="Times New Roman"/>
        </w:rPr>
        <w:t xml:space="preserve">izbeigšanas </w:t>
      </w:r>
      <w:r w:rsidR="00FD1DF1" w:rsidRPr="00F36B06">
        <w:rPr>
          <w:rFonts w:ascii="Times New Roman" w:hAnsi="Times New Roman" w:cs="Times New Roman"/>
        </w:rPr>
        <w:t xml:space="preserve">parādnieka valdes locekļi </w:t>
      </w:r>
      <w:r w:rsidR="009D6395" w:rsidRPr="00F36B06">
        <w:rPr>
          <w:rFonts w:ascii="Times New Roman" w:hAnsi="Times New Roman" w:cs="Times New Roman"/>
        </w:rPr>
        <w:t xml:space="preserve">nav </w:t>
      </w:r>
      <w:r w:rsidR="00A2045A" w:rsidRPr="00F36B06">
        <w:rPr>
          <w:rFonts w:ascii="Times New Roman" w:hAnsi="Times New Roman" w:cs="Times New Roman"/>
        </w:rPr>
        <w:t xml:space="preserve">pakļauti civiltiesiskās prasības celšanas </w:t>
      </w:r>
      <w:r w:rsidR="004669A6" w:rsidRPr="00F36B06">
        <w:rPr>
          <w:rFonts w:ascii="Times New Roman" w:hAnsi="Times New Roman" w:cs="Times New Roman"/>
        </w:rPr>
        <w:t>riskam</w:t>
      </w:r>
      <w:r w:rsidR="00A5766F" w:rsidRPr="00F36B06">
        <w:rPr>
          <w:rFonts w:ascii="Times New Roman" w:hAnsi="Times New Roman" w:cs="Times New Roman"/>
        </w:rPr>
        <w:t xml:space="preserve"> viņu</w:t>
      </w:r>
      <w:r w:rsidR="00E53C65" w:rsidRPr="00F36B06">
        <w:rPr>
          <w:rFonts w:ascii="Times New Roman" w:hAnsi="Times New Roman" w:cs="Times New Roman"/>
        </w:rPr>
        <w:t xml:space="preserve"> prettiesiskās rīcības </w:t>
      </w:r>
      <w:r w:rsidR="00A5766F" w:rsidRPr="00F36B06">
        <w:rPr>
          <w:rFonts w:ascii="Times New Roman" w:hAnsi="Times New Roman" w:cs="Times New Roman"/>
        </w:rPr>
        <w:t>gadījumā</w:t>
      </w:r>
      <w:r w:rsidR="00F10C23" w:rsidRPr="00F36B06">
        <w:rPr>
          <w:rFonts w:ascii="Times New Roman" w:hAnsi="Times New Roman" w:cs="Times New Roman"/>
        </w:rPr>
        <w:t xml:space="preserve"> </w:t>
      </w:r>
      <w:r w:rsidR="00D35DDE" w:rsidRPr="00F36B06">
        <w:rPr>
          <w:rFonts w:ascii="Times New Roman" w:hAnsi="Times New Roman" w:cs="Times New Roman"/>
        </w:rPr>
        <w:t>–</w:t>
      </w:r>
      <w:r w:rsidR="00F10C23" w:rsidRPr="00F36B06">
        <w:rPr>
          <w:rFonts w:ascii="Times New Roman" w:hAnsi="Times New Roman" w:cs="Times New Roman"/>
        </w:rPr>
        <w:t xml:space="preserve"> </w:t>
      </w:r>
      <w:r w:rsidR="00D35DDE" w:rsidRPr="00F36B06">
        <w:rPr>
          <w:rFonts w:ascii="Times New Roman" w:hAnsi="Times New Roman" w:cs="Times New Roman"/>
        </w:rPr>
        <w:t>prasības celšana ir administratora ekskluzīv</w:t>
      </w:r>
      <w:r w:rsidR="00A90040" w:rsidRPr="00F36B06">
        <w:rPr>
          <w:rFonts w:ascii="Times New Roman" w:hAnsi="Times New Roman" w:cs="Times New Roman"/>
        </w:rPr>
        <w:t>ā kompetenc</w:t>
      </w:r>
      <w:r w:rsidR="003E0F20" w:rsidRPr="00F36B06">
        <w:rPr>
          <w:rFonts w:ascii="Times New Roman" w:hAnsi="Times New Roman" w:cs="Times New Roman"/>
        </w:rPr>
        <w:t>ē</w:t>
      </w:r>
      <w:r w:rsidR="00256DF5" w:rsidRPr="00F36B06">
        <w:rPr>
          <w:rFonts w:ascii="Times New Roman" w:hAnsi="Times New Roman" w:cs="Times New Roman"/>
        </w:rPr>
        <w:t>. L</w:t>
      </w:r>
      <w:r w:rsidR="000016DB" w:rsidRPr="00F36B06">
        <w:rPr>
          <w:rFonts w:ascii="Times New Roman" w:hAnsi="Times New Roman" w:cs="Times New Roman"/>
        </w:rPr>
        <w:t>īdz ar to ar maksātnespējas procesa izbeigšanu</w:t>
      </w:r>
      <w:r w:rsidR="001E0CD8" w:rsidRPr="00F36B06">
        <w:rPr>
          <w:rFonts w:ascii="Times New Roman" w:hAnsi="Times New Roman" w:cs="Times New Roman"/>
        </w:rPr>
        <w:t xml:space="preserve"> </w:t>
      </w:r>
      <w:r w:rsidR="00AF40D2" w:rsidRPr="00F36B06">
        <w:rPr>
          <w:rFonts w:ascii="Times New Roman" w:hAnsi="Times New Roman" w:cs="Times New Roman"/>
        </w:rPr>
        <w:t xml:space="preserve">vairs nepastāv </w:t>
      </w:r>
      <w:r w:rsidR="001C00AE" w:rsidRPr="00F36B06">
        <w:rPr>
          <w:rFonts w:ascii="Times New Roman" w:hAnsi="Times New Roman" w:cs="Times New Roman"/>
        </w:rPr>
        <w:t>iespējas saukt valdes locekli pie civiltiesiskās atbildības</w:t>
      </w:r>
      <w:r w:rsidR="00477279" w:rsidRPr="00F36B06">
        <w:rPr>
          <w:rFonts w:ascii="Times New Roman" w:hAnsi="Times New Roman" w:cs="Times New Roman"/>
        </w:rPr>
        <w:t xml:space="preserve"> par parādniekam nodarītajiem zaudējumiem</w:t>
      </w:r>
      <w:r w:rsidR="000F233C" w:rsidRPr="00F36B06">
        <w:rPr>
          <w:rFonts w:ascii="Times New Roman" w:hAnsi="Times New Roman" w:cs="Times New Roman"/>
        </w:rPr>
        <w:t>.</w:t>
      </w:r>
      <w:r w:rsidR="00A5766F" w:rsidRPr="00F36B06">
        <w:rPr>
          <w:rFonts w:ascii="Times New Roman" w:hAnsi="Times New Roman" w:cs="Times New Roman"/>
        </w:rPr>
        <w:t xml:space="preserve"> </w:t>
      </w:r>
      <w:r w:rsidR="009D08F6" w:rsidRPr="00F36B06">
        <w:rPr>
          <w:rFonts w:ascii="Times New Roman" w:hAnsi="Times New Roman" w:cs="Times New Roman"/>
        </w:rPr>
        <w:t xml:space="preserve">Noslēdzot izlīgumu pirms prasības celšanas, valdes locekļi, kuri nodarījuši zaudējumus parādniekam un kreditoriem, iegūst iespēju izvairīties no civiltiesiskas atbildības. Bieži šīs summas ir nesamērīgi zemas salīdzinājumā ar nodarīto kaitējumu. Tādējādi faktiski tiek </w:t>
      </w:r>
      <w:r w:rsidR="004B3578" w:rsidRPr="00F36B06">
        <w:rPr>
          <w:rFonts w:ascii="Times New Roman" w:hAnsi="Times New Roman" w:cs="Times New Roman"/>
        </w:rPr>
        <w:t>"</w:t>
      </w:r>
      <w:r w:rsidR="009D08F6" w:rsidRPr="00F36B06">
        <w:rPr>
          <w:rFonts w:ascii="Times New Roman" w:hAnsi="Times New Roman" w:cs="Times New Roman"/>
        </w:rPr>
        <w:t>nopirkts</w:t>
      </w:r>
      <w:r w:rsidR="004B3578" w:rsidRPr="00F36B06">
        <w:rPr>
          <w:rFonts w:ascii="Times New Roman" w:hAnsi="Times New Roman" w:cs="Times New Roman"/>
        </w:rPr>
        <w:t>"</w:t>
      </w:r>
      <w:r w:rsidR="009D08F6" w:rsidRPr="00F36B06">
        <w:rPr>
          <w:rFonts w:ascii="Times New Roman" w:hAnsi="Times New Roman" w:cs="Times New Roman"/>
        </w:rPr>
        <w:t xml:space="preserve"> atbrīvojums no atbildības.</w:t>
      </w:r>
      <w:r w:rsidR="00152C62" w:rsidRPr="00F36B06">
        <w:rPr>
          <w:rFonts w:ascii="Times New Roman" w:hAnsi="Times New Roman" w:cs="Times New Roman"/>
        </w:rPr>
        <w:t xml:space="preserve"> </w:t>
      </w:r>
      <w:r w:rsidR="00940160" w:rsidRPr="00F36B06">
        <w:rPr>
          <w:rFonts w:ascii="Times New Roman" w:hAnsi="Times New Roman" w:cs="Times New Roman"/>
        </w:rPr>
        <w:t>No minētā var secināt, ka izlīgums neveicina parādnieka mantas atgūšanas instrumentu preventīvo nozīmi.</w:t>
      </w:r>
    </w:p>
    <w:p w14:paraId="6D17AB68" w14:textId="5C4708BE" w:rsidR="00CE386D" w:rsidRPr="00F36B06" w:rsidRDefault="00DE6E0E" w:rsidP="001E3515">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I</w:t>
      </w:r>
      <w:r w:rsidR="00EA7710" w:rsidRPr="00F36B06">
        <w:rPr>
          <w:rFonts w:ascii="Times New Roman" w:hAnsi="Times New Roman" w:cs="Times New Roman"/>
        </w:rPr>
        <w:t xml:space="preserve">zlīguma </w:t>
      </w:r>
      <w:r w:rsidR="00DF061D" w:rsidRPr="00F36B06">
        <w:rPr>
          <w:rFonts w:ascii="Times New Roman" w:hAnsi="Times New Roman" w:cs="Times New Roman"/>
        </w:rPr>
        <w:t xml:space="preserve">slēgšanu un tā </w:t>
      </w:r>
      <w:r w:rsidR="00EA7710" w:rsidRPr="00F36B06">
        <w:rPr>
          <w:rFonts w:ascii="Times New Roman" w:hAnsi="Times New Roman" w:cs="Times New Roman"/>
        </w:rPr>
        <w:t xml:space="preserve">summu </w:t>
      </w:r>
      <w:r w:rsidR="004272F8" w:rsidRPr="00F36B06">
        <w:rPr>
          <w:rFonts w:ascii="Times New Roman" w:hAnsi="Times New Roman" w:cs="Times New Roman"/>
        </w:rPr>
        <w:t xml:space="preserve">neapšaubāmi </w:t>
      </w:r>
      <w:r w:rsidR="00EA7710" w:rsidRPr="00F36B06">
        <w:rPr>
          <w:rFonts w:ascii="Times New Roman" w:hAnsi="Times New Roman" w:cs="Times New Roman"/>
        </w:rPr>
        <w:t xml:space="preserve">ietekmē </w:t>
      </w:r>
      <w:r w:rsidRPr="00F36B06">
        <w:rPr>
          <w:rFonts w:ascii="Times New Roman" w:hAnsi="Times New Roman" w:cs="Times New Roman"/>
        </w:rPr>
        <w:t xml:space="preserve">arī </w:t>
      </w:r>
      <w:r w:rsidR="007D36F2" w:rsidRPr="00F36B06">
        <w:rPr>
          <w:rFonts w:ascii="Times New Roman" w:hAnsi="Times New Roman" w:cs="Times New Roman"/>
        </w:rPr>
        <w:t xml:space="preserve">kreditoru nevēlēšanās </w:t>
      </w:r>
      <w:r w:rsidRPr="00F36B06">
        <w:rPr>
          <w:rFonts w:ascii="Times New Roman" w:hAnsi="Times New Roman" w:cs="Times New Roman"/>
        </w:rPr>
        <w:t xml:space="preserve">ilgstoši </w:t>
      </w:r>
      <w:r w:rsidR="00A00D43" w:rsidRPr="00F36B06">
        <w:rPr>
          <w:rFonts w:ascii="Times New Roman" w:hAnsi="Times New Roman" w:cs="Times New Roman"/>
        </w:rPr>
        <w:t>gaidīt</w:t>
      </w:r>
      <w:r w:rsidR="007D36F2" w:rsidRPr="00F36B06">
        <w:rPr>
          <w:rFonts w:ascii="Times New Roman" w:hAnsi="Times New Roman" w:cs="Times New Roman"/>
        </w:rPr>
        <w:t xml:space="preserve"> tiesvedības </w:t>
      </w:r>
      <w:r w:rsidR="00A00D43" w:rsidRPr="00F36B06">
        <w:rPr>
          <w:rFonts w:ascii="Times New Roman" w:hAnsi="Times New Roman" w:cs="Times New Roman"/>
        </w:rPr>
        <w:t>rezultātu</w:t>
      </w:r>
      <w:r w:rsidR="0002588A" w:rsidRPr="00F36B06">
        <w:rPr>
          <w:rFonts w:ascii="Times New Roman" w:hAnsi="Times New Roman" w:cs="Times New Roman"/>
        </w:rPr>
        <w:t xml:space="preserve">, līdz to izlīguma iespēja </w:t>
      </w:r>
      <w:r w:rsidRPr="00F36B06">
        <w:rPr>
          <w:rFonts w:ascii="Times New Roman" w:hAnsi="Times New Roman" w:cs="Times New Roman"/>
        </w:rPr>
        <w:t xml:space="preserve">tiek atbalstīta </w:t>
      </w:r>
      <w:r w:rsidR="00A37D18" w:rsidRPr="00F36B06">
        <w:rPr>
          <w:rFonts w:ascii="Times New Roman" w:hAnsi="Times New Roman" w:cs="Times New Roman"/>
        </w:rPr>
        <w:t>arī tad, ja ir piedāvāta</w:t>
      </w:r>
      <w:r w:rsidR="0002588A" w:rsidRPr="00F36B06">
        <w:rPr>
          <w:rFonts w:ascii="Times New Roman" w:hAnsi="Times New Roman" w:cs="Times New Roman"/>
        </w:rPr>
        <w:t xml:space="preserve"> </w:t>
      </w:r>
      <w:r w:rsidR="00C208C0" w:rsidRPr="00F36B06">
        <w:rPr>
          <w:rFonts w:ascii="Times New Roman" w:hAnsi="Times New Roman" w:cs="Times New Roman"/>
        </w:rPr>
        <w:t>ļoti zem</w:t>
      </w:r>
      <w:r w:rsidR="00A37D18" w:rsidRPr="00F36B06">
        <w:rPr>
          <w:rFonts w:ascii="Times New Roman" w:hAnsi="Times New Roman" w:cs="Times New Roman"/>
        </w:rPr>
        <w:t>a</w:t>
      </w:r>
      <w:r w:rsidR="00C208C0" w:rsidRPr="00F36B06">
        <w:rPr>
          <w:rFonts w:ascii="Times New Roman" w:hAnsi="Times New Roman" w:cs="Times New Roman"/>
        </w:rPr>
        <w:t xml:space="preserve"> </w:t>
      </w:r>
      <w:r w:rsidR="00A37D18" w:rsidRPr="00F36B06">
        <w:rPr>
          <w:rFonts w:ascii="Times New Roman" w:hAnsi="Times New Roman" w:cs="Times New Roman"/>
        </w:rPr>
        <w:t>iz</w:t>
      </w:r>
      <w:r w:rsidR="00C77490" w:rsidRPr="00F36B06">
        <w:rPr>
          <w:rFonts w:ascii="Times New Roman" w:hAnsi="Times New Roman" w:cs="Times New Roman"/>
        </w:rPr>
        <w:t xml:space="preserve">līguma </w:t>
      </w:r>
      <w:r w:rsidR="0002588A" w:rsidRPr="00F36B06">
        <w:rPr>
          <w:rFonts w:ascii="Times New Roman" w:hAnsi="Times New Roman" w:cs="Times New Roman"/>
        </w:rPr>
        <w:t>summ</w:t>
      </w:r>
      <w:r w:rsidR="00C77490" w:rsidRPr="00F36B06">
        <w:rPr>
          <w:rFonts w:ascii="Times New Roman" w:hAnsi="Times New Roman" w:cs="Times New Roman"/>
        </w:rPr>
        <w:t>a</w:t>
      </w:r>
      <w:r w:rsidR="002946FE" w:rsidRPr="00F36B06">
        <w:rPr>
          <w:rFonts w:ascii="Times New Roman" w:hAnsi="Times New Roman" w:cs="Times New Roman"/>
        </w:rPr>
        <w:t xml:space="preserve">, </w:t>
      </w:r>
      <w:r w:rsidR="00CD1D3A" w:rsidRPr="00F36B06">
        <w:rPr>
          <w:rFonts w:ascii="Times New Roman" w:hAnsi="Times New Roman" w:cs="Times New Roman"/>
        </w:rPr>
        <w:t>jo to ir</w:t>
      </w:r>
      <w:r w:rsidR="00D333F9" w:rsidRPr="00F36B06">
        <w:rPr>
          <w:rFonts w:ascii="Times New Roman" w:hAnsi="Times New Roman" w:cs="Times New Roman"/>
        </w:rPr>
        <w:t xml:space="preserve"> iespējams saņemt uzreiz.</w:t>
      </w:r>
      <w:r w:rsidR="0002588A" w:rsidRPr="00F36B06">
        <w:rPr>
          <w:rFonts w:ascii="Times New Roman" w:hAnsi="Times New Roman" w:cs="Times New Roman"/>
        </w:rPr>
        <w:t xml:space="preserve"> </w:t>
      </w:r>
      <w:r w:rsidR="000F233C" w:rsidRPr="00F36B06">
        <w:rPr>
          <w:rFonts w:ascii="Times New Roman" w:hAnsi="Times New Roman" w:cs="Times New Roman"/>
        </w:rPr>
        <w:t xml:space="preserve">Turpretī </w:t>
      </w:r>
      <w:r w:rsidR="00753077" w:rsidRPr="00F36B06">
        <w:rPr>
          <w:rFonts w:ascii="Times New Roman" w:hAnsi="Times New Roman" w:cs="Times New Roman"/>
        </w:rPr>
        <w:t>gadījumā, ja prasī</w:t>
      </w:r>
      <w:r w:rsidR="00C13CD2" w:rsidRPr="00F36B06">
        <w:rPr>
          <w:rFonts w:ascii="Times New Roman" w:hAnsi="Times New Roman" w:cs="Times New Roman"/>
        </w:rPr>
        <w:t>ba</w:t>
      </w:r>
      <w:r w:rsidR="00753077" w:rsidRPr="00F36B06">
        <w:rPr>
          <w:rFonts w:ascii="Times New Roman" w:hAnsi="Times New Roman" w:cs="Times New Roman"/>
        </w:rPr>
        <w:t xml:space="preserve"> tiek celt</w:t>
      </w:r>
      <w:r w:rsidR="00C13CD2" w:rsidRPr="00F36B06">
        <w:rPr>
          <w:rFonts w:ascii="Times New Roman" w:hAnsi="Times New Roman" w:cs="Times New Roman"/>
        </w:rPr>
        <w:t>a</w:t>
      </w:r>
      <w:r w:rsidR="00753077" w:rsidRPr="00F36B06">
        <w:rPr>
          <w:rFonts w:ascii="Times New Roman" w:hAnsi="Times New Roman" w:cs="Times New Roman"/>
        </w:rPr>
        <w:t xml:space="preserve"> </w:t>
      </w:r>
      <w:r w:rsidR="00C85E56" w:rsidRPr="00F36B06">
        <w:rPr>
          <w:rFonts w:ascii="Times New Roman" w:hAnsi="Times New Roman" w:cs="Times New Roman"/>
        </w:rPr>
        <w:t xml:space="preserve">un </w:t>
      </w:r>
      <w:r w:rsidR="000838F7" w:rsidRPr="00F36B06">
        <w:rPr>
          <w:rFonts w:ascii="Times New Roman" w:hAnsi="Times New Roman" w:cs="Times New Roman"/>
        </w:rPr>
        <w:t>tiek piespriest</w:t>
      </w:r>
      <w:r w:rsidR="007D0920" w:rsidRPr="00F36B06">
        <w:rPr>
          <w:rFonts w:ascii="Times New Roman" w:hAnsi="Times New Roman" w:cs="Times New Roman"/>
        </w:rPr>
        <w:t>s</w:t>
      </w:r>
      <w:r w:rsidR="000838F7" w:rsidRPr="00F36B06">
        <w:rPr>
          <w:rFonts w:ascii="Times New Roman" w:hAnsi="Times New Roman" w:cs="Times New Roman"/>
        </w:rPr>
        <w:t xml:space="preserve"> piedzīt no parādnieka valdes </w:t>
      </w:r>
      <w:r w:rsidR="00D6600B" w:rsidRPr="00F36B06">
        <w:rPr>
          <w:rFonts w:ascii="Times New Roman" w:hAnsi="Times New Roman" w:cs="Times New Roman"/>
        </w:rPr>
        <w:t>locekļiem zaudējumus par labu parādniekam</w:t>
      </w:r>
      <w:r w:rsidR="007D0920" w:rsidRPr="00F36B06">
        <w:rPr>
          <w:rFonts w:ascii="Times New Roman" w:hAnsi="Times New Roman" w:cs="Times New Roman"/>
        </w:rPr>
        <w:t xml:space="preserve">, </w:t>
      </w:r>
      <w:r w:rsidR="005D799A" w:rsidRPr="00F36B06">
        <w:rPr>
          <w:rFonts w:ascii="Times New Roman" w:hAnsi="Times New Roman" w:cs="Times New Roman"/>
        </w:rPr>
        <w:t>šādas prasījuma tiesības ir iespējams cedēt</w:t>
      </w:r>
      <w:r w:rsidR="00300DBF" w:rsidRPr="00F36B06">
        <w:rPr>
          <w:rFonts w:ascii="Times New Roman" w:hAnsi="Times New Roman" w:cs="Times New Roman"/>
        </w:rPr>
        <w:t> – </w:t>
      </w:r>
      <w:r w:rsidR="0025197E" w:rsidRPr="00F36B06">
        <w:rPr>
          <w:rFonts w:ascii="Times New Roman" w:hAnsi="Times New Roman" w:cs="Times New Roman"/>
        </w:rPr>
        <w:t>maksātnespēj</w:t>
      </w:r>
      <w:r w:rsidR="000F233C" w:rsidRPr="00F36B06">
        <w:rPr>
          <w:rFonts w:ascii="Times New Roman" w:hAnsi="Times New Roman" w:cs="Times New Roman"/>
        </w:rPr>
        <w:t>īg</w:t>
      </w:r>
      <w:r w:rsidR="0025197E" w:rsidRPr="00F36B06">
        <w:rPr>
          <w:rFonts w:ascii="Times New Roman" w:hAnsi="Times New Roman" w:cs="Times New Roman"/>
        </w:rPr>
        <w:t xml:space="preserve">s parādnieks tiek aizstāts ar jaunu kreditoru, kuram ir iespēja turpināt </w:t>
      </w:r>
      <w:r w:rsidR="00251F62" w:rsidRPr="00F36B06">
        <w:rPr>
          <w:rFonts w:ascii="Times New Roman" w:hAnsi="Times New Roman" w:cs="Times New Roman"/>
        </w:rPr>
        <w:t>piedziņu arī pēc maksātnespējas procesa izbeigšanas.</w:t>
      </w:r>
    </w:p>
    <w:p w14:paraId="67C5E891" w14:textId="33E483DC" w:rsidR="00841CE9" w:rsidRPr="00F36B06" w:rsidRDefault="00A761C5"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Pētījumā</w:t>
      </w:r>
      <w:r w:rsidR="009E5FD8" w:rsidRPr="00F36B06">
        <w:rPr>
          <w:rFonts w:ascii="Times New Roman" w:hAnsi="Times New Roman" w:cs="Times New Roman"/>
        </w:rPr>
        <w:t xml:space="preserve"> iegūtie dati liecina</w:t>
      </w:r>
      <w:r w:rsidRPr="00F36B06">
        <w:rPr>
          <w:rFonts w:ascii="Times New Roman" w:hAnsi="Times New Roman" w:cs="Times New Roman"/>
        </w:rPr>
        <w:t xml:space="preserve"> arī par to</w:t>
      </w:r>
      <w:r w:rsidR="00887A27" w:rsidRPr="00F36B06">
        <w:rPr>
          <w:rFonts w:ascii="Times New Roman" w:hAnsi="Times New Roman" w:cs="Times New Roman"/>
        </w:rPr>
        <w:t xml:space="preserve">, ka </w:t>
      </w:r>
      <w:r w:rsidR="00E24091" w:rsidRPr="00F36B06">
        <w:rPr>
          <w:rFonts w:ascii="Times New Roman" w:hAnsi="Times New Roman" w:cs="Times New Roman"/>
        </w:rPr>
        <w:t xml:space="preserve">lielākajā daļā gadījumu </w:t>
      </w:r>
      <w:r w:rsidR="00F40175" w:rsidRPr="00F36B06">
        <w:rPr>
          <w:rFonts w:ascii="Times New Roman" w:hAnsi="Times New Roman" w:cs="Times New Roman"/>
        </w:rPr>
        <w:t>(47</w:t>
      </w:r>
      <w:r w:rsidR="00F74108" w:rsidRPr="00F36B06">
        <w:rPr>
          <w:rFonts w:ascii="Times New Roman" w:hAnsi="Times New Roman" w:cs="Times New Roman"/>
        </w:rPr>
        <w:t> </w:t>
      </w:r>
      <w:r w:rsidR="00F40175" w:rsidRPr="00F36B06">
        <w:rPr>
          <w:rFonts w:ascii="Times New Roman" w:hAnsi="Times New Roman" w:cs="Times New Roman"/>
        </w:rPr>
        <w:t xml:space="preserve">gadījumos </w:t>
      </w:r>
      <w:r w:rsidR="003A0656" w:rsidRPr="00F36B06">
        <w:rPr>
          <w:rFonts w:ascii="Times New Roman" w:hAnsi="Times New Roman" w:cs="Times New Roman"/>
        </w:rPr>
        <w:t>jeb 59</w:t>
      </w:r>
      <w:r w:rsidR="003720C1" w:rsidRPr="00F36B06">
        <w:rPr>
          <w:rFonts w:ascii="Times New Roman" w:hAnsi="Times New Roman" w:cs="Times New Roman"/>
        </w:rPr>
        <w:t> </w:t>
      </w:r>
      <w:r w:rsidR="003A0656" w:rsidRPr="00F36B06">
        <w:rPr>
          <w:rFonts w:ascii="Times New Roman" w:hAnsi="Times New Roman" w:cs="Times New Roman"/>
        </w:rPr>
        <w:t xml:space="preserve">%) </w:t>
      </w:r>
      <w:r w:rsidR="004971D0" w:rsidRPr="00F36B06">
        <w:rPr>
          <w:rFonts w:ascii="Times New Roman" w:hAnsi="Times New Roman" w:cs="Times New Roman"/>
        </w:rPr>
        <w:t xml:space="preserve">administratori </w:t>
      </w:r>
      <w:r w:rsidR="007A6C5E" w:rsidRPr="00F36B06">
        <w:rPr>
          <w:rFonts w:ascii="Times New Roman" w:hAnsi="Times New Roman" w:cs="Times New Roman"/>
        </w:rPr>
        <w:t xml:space="preserve">jau </w:t>
      </w:r>
      <w:r w:rsidR="00E8425F" w:rsidRPr="00F36B06">
        <w:rPr>
          <w:rFonts w:ascii="Times New Roman" w:hAnsi="Times New Roman" w:cs="Times New Roman"/>
        </w:rPr>
        <w:t xml:space="preserve">sākotnēji </w:t>
      </w:r>
      <w:r w:rsidR="004971D0" w:rsidRPr="00F36B06">
        <w:rPr>
          <w:rFonts w:ascii="Times New Roman" w:hAnsi="Times New Roman" w:cs="Times New Roman"/>
        </w:rPr>
        <w:t>izvēl</w:t>
      </w:r>
      <w:r w:rsidR="002023A4" w:rsidRPr="00F36B06">
        <w:rPr>
          <w:rFonts w:ascii="Times New Roman" w:hAnsi="Times New Roman" w:cs="Times New Roman"/>
        </w:rPr>
        <w:t>ējās</w:t>
      </w:r>
      <w:r w:rsidR="004971D0" w:rsidRPr="00F36B06">
        <w:rPr>
          <w:rFonts w:ascii="Times New Roman" w:hAnsi="Times New Roman" w:cs="Times New Roman"/>
        </w:rPr>
        <w:t xml:space="preserve"> cesiju</w:t>
      </w:r>
      <w:r w:rsidR="00521516" w:rsidRPr="00F36B06">
        <w:rPr>
          <w:rFonts w:ascii="Times New Roman" w:hAnsi="Times New Roman" w:cs="Times New Roman"/>
        </w:rPr>
        <w:t xml:space="preserve"> k</w:t>
      </w:r>
      <w:r w:rsidR="00265E6F" w:rsidRPr="00F36B06">
        <w:rPr>
          <w:rFonts w:ascii="Times New Roman" w:hAnsi="Times New Roman" w:cs="Times New Roman"/>
        </w:rPr>
        <w:t>ā</w:t>
      </w:r>
      <w:r w:rsidR="00521516" w:rsidRPr="00F36B06">
        <w:rPr>
          <w:rFonts w:ascii="Times New Roman" w:hAnsi="Times New Roman" w:cs="Times New Roman"/>
        </w:rPr>
        <w:t xml:space="preserve"> instrumentu</w:t>
      </w:r>
      <w:r w:rsidR="004219B3" w:rsidRPr="00F36B06">
        <w:rPr>
          <w:rFonts w:ascii="Times New Roman" w:hAnsi="Times New Roman" w:cs="Times New Roman"/>
        </w:rPr>
        <w:t xml:space="preserve">, kas nodrošina </w:t>
      </w:r>
      <w:r w:rsidR="00406F0A" w:rsidRPr="00F36B06">
        <w:rPr>
          <w:rFonts w:ascii="Times New Roman" w:hAnsi="Times New Roman" w:cs="Times New Roman"/>
        </w:rPr>
        <w:t xml:space="preserve">iespēju </w:t>
      </w:r>
      <w:r w:rsidR="004219B3" w:rsidRPr="00F36B06">
        <w:rPr>
          <w:rFonts w:ascii="Times New Roman" w:hAnsi="Times New Roman" w:cs="Times New Roman"/>
        </w:rPr>
        <w:t>visātrāk</w:t>
      </w:r>
      <w:r w:rsidR="00406F0A" w:rsidRPr="00F36B06">
        <w:rPr>
          <w:rFonts w:ascii="Times New Roman" w:hAnsi="Times New Roman" w:cs="Times New Roman"/>
        </w:rPr>
        <w:t xml:space="preserve"> saņemt reālus naudas līdze</w:t>
      </w:r>
      <w:r w:rsidR="00686145" w:rsidRPr="00F36B06">
        <w:rPr>
          <w:rFonts w:ascii="Times New Roman" w:hAnsi="Times New Roman" w:cs="Times New Roman"/>
        </w:rPr>
        <w:t xml:space="preserve">kļus, ko novirzīt kreditoru prasījumu </w:t>
      </w:r>
      <w:r w:rsidR="000A4AB8" w:rsidRPr="00F36B06">
        <w:rPr>
          <w:rFonts w:ascii="Times New Roman" w:hAnsi="Times New Roman" w:cs="Times New Roman"/>
        </w:rPr>
        <w:t>apmierināšanai</w:t>
      </w:r>
      <w:r w:rsidR="00926EE9" w:rsidRPr="00F36B06">
        <w:rPr>
          <w:rFonts w:ascii="Times New Roman" w:hAnsi="Times New Roman" w:cs="Times New Roman"/>
        </w:rPr>
        <w:t xml:space="preserve">, </w:t>
      </w:r>
      <w:r w:rsidR="00265E6F" w:rsidRPr="00F36B06">
        <w:rPr>
          <w:rFonts w:ascii="Times New Roman" w:hAnsi="Times New Roman" w:cs="Times New Roman"/>
        </w:rPr>
        <w:t>vai turpina ar cesiju</w:t>
      </w:r>
      <w:r w:rsidR="00B06516" w:rsidRPr="00F36B06">
        <w:rPr>
          <w:rFonts w:ascii="Times New Roman" w:hAnsi="Times New Roman" w:cs="Times New Roman"/>
        </w:rPr>
        <w:t>, ja sākotnēji mēģinājumi piedzīt spriedumā norādīto summu ir biju</w:t>
      </w:r>
      <w:r w:rsidR="00E030CE" w:rsidRPr="00F36B06">
        <w:rPr>
          <w:rFonts w:ascii="Times New Roman" w:hAnsi="Times New Roman" w:cs="Times New Roman"/>
        </w:rPr>
        <w:t xml:space="preserve">ši </w:t>
      </w:r>
      <w:r w:rsidR="00E67CFF" w:rsidRPr="00F36B06">
        <w:rPr>
          <w:rFonts w:ascii="Times New Roman" w:hAnsi="Times New Roman" w:cs="Times New Roman"/>
        </w:rPr>
        <w:t xml:space="preserve">neveiksmīgi vai </w:t>
      </w:r>
      <w:r w:rsidR="00E030CE" w:rsidRPr="00F36B06">
        <w:rPr>
          <w:rFonts w:ascii="Times New Roman" w:hAnsi="Times New Roman" w:cs="Times New Roman"/>
        </w:rPr>
        <w:t xml:space="preserve">daļēji veiksmīgi. </w:t>
      </w:r>
      <w:r w:rsidR="0076765D" w:rsidRPr="00F36B06">
        <w:rPr>
          <w:rFonts w:ascii="Times New Roman" w:hAnsi="Times New Roman" w:cs="Times New Roman"/>
        </w:rPr>
        <w:t xml:space="preserve">Šāda administratoru rīcība </w:t>
      </w:r>
      <w:r w:rsidR="00926EE9" w:rsidRPr="00F36B06">
        <w:rPr>
          <w:rFonts w:ascii="Times New Roman" w:hAnsi="Times New Roman" w:cs="Times New Roman"/>
        </w:rPr>
        <w:t>neapšaubāmi saistīt</w:t>
      </w:r>
      <w:r w:rsidR="00A83D8F" w:rsidRPr="00F36B06">
        <w:rPr>
          <w:rFonts w:ascii="Times New Roman" w:hAnsi="Times New Roman" w:cs="Times New Roman"/>
        </w:rPr>
        <w:t>a</w:t>
      </w:r>
      <w:r w:rsidR="00926EE9" w:rsidRPr="00F36B06">
        <w:rPr>
          <w:rFonts w:ascii="Times New Roman" w:hAnsi="Times New Roman" w:cs="Times New Roman"/>
        </w:rPr>
        <w:t xml:space="preserve"> ar maksātnespējas procesa</w:t>
      </w:r>
      <w:r w:rsidR="00EC01E2" w:rsidRPr="00F36B06">
        <w:rPr>
          <w:rFonts w:ascii="Times New Roman" w:hAnsi="Times New Roman" w:cs="Times New Roman"/>
        </w:rPr>
        <w:t xml:space="preserve"> </w:t>
      </w:r>
      <w:r w:rsidR="00996777" w:rsidRPr="00F36B06">
        <w:rPr>
          <w:rFonts w:ascii="Times New Roman" w:hAnsi="Times New Roman" w:cs="Times New Roman"/>
        </w:rPr>
        <w:t>būtību</w:t>
      </w:r>
      <w:r w:rsidR="000A7594" w:rsidRPr="00F36B06">
        <w:rPr>
          <w:rFonts w:ascii="Times New Roman" w:hAnsi="Times New Roman" w:cs="Times New Roman"/>
        </w:rPr>
        <w:t>. Maksātnespējas process ir ierobežots laikā</w:t>
      </w:r>
      <w:r w:rsidR="00996777" w:rsidRPr="00F36B06">
        <w:rPr>
          <w:rFonts w:ascii="Times New Roman" w:hAnsi="Times New Roman" w:cs="Times New Roman"/>
        </w:rPr>
        <w:t xml:space="preserve"> – </w:t>
      </w:r>
      <w:r w:rsidR="004D7FB1" w:rsidRPr="00F36B06">
        <w:rPr>
          <w:rFonts w:ascii="Times New Roman" w:hAnsi="Times New Roman" w:cs="Times New Roman"/>
        </w:rPr>
        <w:t xml:space="preserve">viens no maksātnespējas procesa pamatprincipiem ir </w:t>
      </w:r>
      <w:r w:rsidR="002F1316" w:rsidRPr="00F36B06">
        <w:rPr>
          <w:rFonts w:ascii="Times New Roman" w:hAnsi="Times New Roman" w:cs="Times New Roman"/>
        </w:rPr>
        <w:t>apgrozības ātruma princips</w:t>
      </w:r>
      <w:r w:rsidR="002F1316" w:rsidRPr="00F36B06">
        <w:rPr>
          <w:rStyle w:val="FootnoteReference"/>
          <w:rFonts w:ascii="Times New Roman" w:hAnsi="Times New Roman" w:cs="Times New Roman"/>
        </w:rPr>
        <w:footnoteReference w:id="24"/>
      </w:r>
      <w:r w:rsidR="007F5E25" w:rsidRPr="00F36B06">
        <w:rPr>
          <w:rFonts w:ascii="Times New Roman" w:hAnsi="Times New Roman" w:cs="Times New Roman"/>
        </w:rPr>
        <w:t xml:space="preserve">, līdz ar to viens no maksātnespējas </w:t>
      </w:r>
      <w:r w:rsidR="002F1316" w:rsidRPr="00F36B06">
        <w:rPr>
          <w:rFonts w:ascii="Times New Roman" w:hAnsi="Times New Roman" w:cs="Times New Roman"/>
        </w:rPr>
        <w:t>procesa uzdevum</w:t>
      </w:r>
      <w:r w:rsidR="007F5E25" w:rsidRPr="00F36B06">
        <w:rPr>
          <w:rFonts w:ascii="Times New Roman" w:hAnsi="Times New Roman" w:cs="Times New Roman"/>
        </w:rPr>
        <w:t>iem</w:t>
      </w:r>
      <w:r w:rsidR="002F1316" w:rsidRPr="00F36B06">
        <w:rPr>
          <w:rFonts w:ascii="Times New Roman" w:hAnsi="Times New Roman" w:cs="Times New Roman"/>
        </w:rPr>
        <w:t xml:space="preserve"> ir uzturēt </w:t>
      </w:r>
      <w:proofErr w:type="spellStart"/>
      <w:r w:rsidR="002F1316" w:rsidRPr="00F36B06">
        <w:rPr>
          <w:rFonts w:ascii="Times New Roman" w:hAnsi="Times New Roman" w:cs="Times New Roman"/>
        </w:rPr>
        <w:t>komerctiesiskās</w:t>
      </w:r>
      <w:proofErr w:type="spellEnd"/>
      <w:r w:rsidR="002F1316" w:rsidRPr="00F36B06">
        <w:rPr>
          <w:rFonts w:ascii="Times New Roman" w:hAnsi="Times New Roman" w:cs="Times New Roman"/>
        </w:rPr>
        <w:t xml:space="preserve"> apgrozības ātrumu. </w:t>
      </w:r>
      <w:r w:rsidR="004132A4" w:rsidRPr="00F36B06">
        <w:rPr>
          <w:rFonts w:ascii="Times New Roman" w:hAnsi="Times New Roman" w:cs="Times New Roman"/>
        </w:rPr>
        <w:t>Tādējādi p</w:t>
      </w:r>
      <w:r w:rsidR="002F1316" w:rsidRPr="00F36B06">
        <w:rPr>
          <w:rFonts w:ascii="Times New Roman" w:hAnsi="Times New Roman" w:cs="Times New Roman"/>
        </w:rPr>
        <w:t xml:space="preserve">arādnieka mantas realizācija veicama, lai pēc iespējas ātrāk nodrošinātu </w:t>
      </w:r>
      <w:r w:rsidR="00D030D4" w:rsidRPr="00F36B06">
        <w:rPr>
          <w:rFonts w:ascii="Times New Roman" w:hAnsi="Times New Roman" w:cs="Times New Roman"/>
        </w:rPr>
        <w:t>mantas un tās pārdošanas rezultātā iegūto līdzekļu</w:t>
      </w:r>
      <w:r w:rsidR="002F1316" w:rsidRPr="00F36B06">
        <w:rPr>
          <w:rFonts w:ascii="Times New Roman" w:hAnsi="Times New Roman" w:cs="Times New Roman"/>
        </w:rPr>
        <w:t xml:space="preserve"> atgriešanos </w:t>
      </w:r>
      <w:proofErr w:type="spellStart"/>
      <w:r w:rsidR="002F1316" w:rsidRPr="00F36B06">
        <w:rPr>
          <w:rFonts w:ascii="Times New Roman" w:hAnsi="Times New Roman" w:cs="Times New Roman"/>
        </w:rPr>
        <w:t>komerctiesiskajā</w:t>
      </w:r>
      <w:proofErr w:type="spellEnd"/>
      <w:r w:rsidR="002F1316" w:rsidRPr="00F36B06">
        <w:rPr>
          <w:rFonts w:ascii="Times New Roman" w:hAnsi="Times New Roman" w:cs="Times New Roman"/>
        </w:rPr>
        <w:t xml:space="preserve"> apritē</w:t>
      </w:r>
      <w:r w:rsidR="00A85559" w:rsidRPr="00F36B06">
        <w:rPr>
          <w:rFonts w:ascii="Times New Roman" w:hAnsi="Times New Roman" w:cs="Times New Roman"/>
        </w:rPr>
        <w:t xml:space="preserve">. </w:t>
      </w:r>
    </w:p>
    <w:p w14:paraId="616A7900" w14:textId="2C274CC6" w:rsidR="00562DB9" w:rsidRPr="00F36B06" w:rsidRDefault="00A85559"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Papil</w:t>
      </w:r>
      <w:r w:rsidR="008E3F65" w:rsidRPr="00F36B06">
        <w:rPr>
          <w:rFonts w:ascii="Times New Roman" w:hAnsi="Times New Roman" w:cs="Times New Roman"/>
        </w:rPr>
        <w:t xml:space="preserve">dus aktīvu ātrākai atgriešanai </w:t>
      </w:r>
      <w:proofErr w:type="spellStart"/>
      <w:r w:rsidR="008E3F65" w:rsidRPr="00F36B06">
        <w:rPr>
          <w:rFonts w:ascii="Times New Roman" w:hAnsi="Times New Roman" w:cs="Times New Roman"/>
        </w:rPr>
        <w:t>komerctiesiskajā</w:t>
      </w:r>
      <w:proofErr w:type="spellEnd"/>
      <w:r w:rsidR="008E3F65" w:rsidRPr="00F36B06">
        <w:rPr>
          <w:rFonts w:ascii="Times New Roman" w:hAnsi="Times New Roman" w:cs="Times New Roman"/>
        </w:rPr>
        <w:t xml:space="preserve"> a</w:t>
      </w:r>
      <w:r w:rsidR="00F16B68" w:rsidRPr="00F36B06">
        <w:rPr>
          <w:rFonts w:ascii="Times New Roman" w:hAnsi="Times New Roman" w:cs="Times New Roman"/>
        </w:rPr>
        <w:t>prit</w:t>
      </w:r>
      <w:r w:rsidR="0028170E" w:rsidRPr="00F36B06">
        <w:rPr>
          <w:rFonts w:ascii="Times New Roman" w:hAnsi="Times New Roman" w:cs="Times New Roman"/>
        </w:rPr>
        <w:t xml:space="preserve">ē no maksātnespējas procesa pabeigšanas </w:t>
      </w:r>
      <w:r w:rsidR="006E04BE" w:rsidRPr="00F36B06">
        <w:rPr>
          <w:rFonts w:ascii="Times New Roman" w:hAnsi="Times New Roman" w:cs="Times New Roman"/>
        </w:rPr>
        <w:t xml:space="preserve">ir atkarīgs tas, cik ātri </w:t>
      </w:r>
      <w:r w:rsidR="001F4A85" w:rsidRPr="00F36B06">
        <w:rPr>
          <w:rFonts w:ascii="Times New Roman" w:hAnsi="Times New Roman" w:cs="Times New Roman"/>
        </w:rPr>
        <w:t xml:space="preserve">parādnieka kreditori varēs </w:t>
      </w:r>
      <w:r w:rsidR="00517DAD" w:rsidRPr="00F36B06">
        <w:rPr>
          <w:rFonts w:ascii="Times New Roman" w:hAnsi="Times New Roman" w:cs="Times New Roman"/>
        </w:rPr>
        <w:t xml:space="preserve">norakstīt </w:t>
      </w:r>
      <w:r w:rsidR="00956DF8" w:rsidRPr="00F36B06">
        <w:rPr>
          <w:rFonts w:ascii="Times New Roman" w:hAnsi="Times New Roman" w:cs="Times New Roman"/>
        </w:rPr>
        <w:t xml:space="preserve">summas, ko nav izdevies atgūt no parādnieka, tādējādi samazinot ar </w:t>
      </w:r>
      <w:r w:rsidR="00F32C90" w:rsidRPr="00F36B06">
        <w:rPr>
          <w:rFonts w:ascii="Times New Roman" w:hAnsi="Times New Roman" w:cs="Times New Roman"/>
        </w:rPr>
        <w:t xml:space="preserve">uzņēmuma </w:t>
      </w:r>
      <w:r w:rsidR="00956DF8" w:rsidRPr="00F36B06">
        <w:rPr>
          <w:rFonts w:ascii="Times New Roman" w:hAnsi="Times New Roman" w:cs="Times New Roman"/>
        </w:rPr>
        <w:t>ienākuma nodok</w:t>
      </w:r>
      <w:r w:rsidR="00CC266F" w:rsidRPr="00F36B06">
        <w:rPr>
          <w:rFonts w:ascii="Times New Roman" w:hAnsi="Times New Roman" w:cs="Times New Roman"/>
        </w:rPr>
        <w:t>l</w:t>
      </w:r>
      <w:r w:rsidR="00956DF8" w:rsidRPr="00F36B06">
        <w:rPr>
          <w:rFonts w:ascii="Times New Roman" w:hAnsi="Times New Roman" w:cs="Times New Roman"/>
        </w:rPr>
        <w:t>i apliekamo bāzi</w:t>
      </w:r>
      <w:r w:rsidR="002001B8" w:rsidRPr="00F36B06">
        <w:rPr>
          <w:rStyle w:val="FootnoteReference"/>
          <w:rFonts w:ascii="Times New Roman" w:hAnsi="Times New Roman" w:cs="Times New Roman"/>
        </w:rPr>
        <w:footnoteReference w:id="25"/>
      </w:r>
      <w:r w:rsidR="00B07649" w:rsidRPr="00F36B06">
        <w:rPr>
          <w:rFonts w:ascii="Times New Roman" w:hAnsi="Times New Roman" w:cs="Times New Roman"/>
        </w:rPr>
        <w:t xml:space="preserve"> vai </w:t>
      </w:r>
      <w:r w:rsidR="0074154D" w:rsidRPr="00F36B06">
        <w:rPr>
          <w:rFonts w:ascii="Times New Roman" w:hAnsi="Times New Roman" w:cs="Times New Roman"/>
        </w:rPr>
        <w:t xml:space="preserve">veikt </w:t>
      </w:r>
      <w:r w:rsidR="006D52C6" w:rsidRPr="00F36B06">
        <w:rPr>
          <w:rFonts w:ascii="Times New Roman" w:hAnsi="Times New Roman" w:cs="Times New Roman"/>
        </w:rPr>
        <w:t>priekšnodokļa korekciju zaudētiem parādiem</w:t>
      </w:r>
      <w:r w:rsidR="00C60AFD" w:rsidRPr="00F36B06">
        <w:rPr>
          <w:rStyle w:val="FootnoteReference"/>
          <w:rFonts w:ascii="Times New Roman" w:hAnsi="Times New Roman" w:cs="Times New Roman"/>
        </w:rPr>
        <w:footnoteReference w:id="26"/>
      </w:r>
      <w:r w:rsidR="00B951DC" w:rsidRPr="00F36B06">
        <w:rPr>
          <w:rFonts w:ascii="Times New Roman" w:hAnsi="Times New Roman" w:cs="Times New Roman"/>
        </w:rPr>
        <w:t>.</w:t>
      </w:r>
      <w:r w:rsidR="0005542F" w:rsidRPr="00F36B06">
        <w:rPr>
          <w:rFonts w:ascii="Times New Roman" w:hAnsi="Times New Roman" w:cs="Times New Roman"/>
        </w:rPr>
        <w:t xml:space="preserve"> </w:t>
      </w:r>
    </w:p>
    <w:p w14:paraId="561E2594" w14:textId="5C2F654A" w:rsidR="008B7DF1" w:rsidRPr="00F36B06" w:rsidRDefault="0077656C" w:rsidP="00A1439B">
      <w:pPr>
        <w:autoSpaceDE w:val="0"/>
        <w:autoSpaceDN w:val="0"/>
        <w:adjustRightInd w:val="0"/>
        <w:spacing w:after="0" w:line="240" w:lineRule="auto"/>
        <w:ind w:right="-81" w:firstLine="720"/>
        <w:jc w:val="both"/>
        <w:rPr>
          <w:rFonts w:ascii="Times New Roman" w:hAnsi="Times New Roman" w:cs="Times New Roman"/>
        </w:rPr>
      </w:pPr>
      <w:r w:rsidRPr="00F36B06">
        <w:rPr>
          <w:rFonts w:ascii="Times New Roman" w:hAnsi="Times New Roman" w:cs="Times New Roman"/>
        </w:rPr>
        <w:t xml:space="preserve">Maksātnespējas likums </w:t>
      </w:r>
      <w:r w:rsidR="00B908A6" w:rsidRPr="00F36B06">
        <w:rPr>
          <w:rFonts w:ascii="Times New Roman" w:hAnsi="Times New Roman" w:cs="Times New Roman"/>
        </w:rPr>
        <w:t>noteic</w:t>
      </w:r>
      <w:r w:rsidRPr="00F36B06">
        <w:rPr>
          <w:rFonts w:ascii="Times New Roman" w:hAnsi="Times New Roman" w:cs="Times New Roman"/>
        </w:rPr>
        <w:t>, ka</w:t>
      </w:r>
      <w:r w:rsidR="009D6A5E" w:rsidRPr="00F36B06">
        <w:rPr>
          <w:rFonts w:ascii="Arial" w:hAnsi="Arial" w:cs="Arial"/>
          <w:sz w:val="20"/>
          <w:szCs w:val="20"/>
          <w:shd w:val="clear" w:color="auto" w:fill="FFFFFF"/>
        </w:rPr>
        <w:t xml:space="preserve"> </w:t>
      </w:r>
      <w:r w:rsidR="00B25339" w:rsidRPr="00F36B06">
        <w:rPr>
          <w:rFonts w:ascii="Times New Roman" w:hAnsi="Times New Roman" w:cs="Times New Roman"/>
          <w:shd w:val="clear" w:color="auto" w:fill="FFFFFF"/>
        </w:rPr>
        <w:t>v</w:t>
      </w:r>
      <w:r w:rsidR="009D6A5E" w:rsidRPr="00F36B06">
        <w:rPr>
          <w:rFonts w:ascii="Times New Roman" w:hAnsi="Times New Roman" w:cs="Times New Roman"/>
          <w:shd w:val="clear" w:color="auto" w:fill="FFFFFF"/>
        </w:rPr>
        <w:t>isa parādnieka manta ir pārdodama sešu mēnešu laikā pēc juridiskās personas maksātnespējas procesa pasludināšanas</w:t>
      </w:r>
      <w:r w:rsidR="000A61A4" w:rsidRPr="00F36B06">
        <w:rPr>
          <w:rFonts w:ascii="Times New Roman" w:hAnsi="Times New Roman" w:cs="Times New Roman"/>
          <w:shd w:val="clear" w:color="auto" w:fill="FFFFFF"/>
        </w:rPr>
        <w:t>, kas nozīmē, ka</w:t>
      </w:r>
      <w:r w:rsidRPr="00F36B06">
        <w:rPr>
          <w:rFonts w:ascii="Times New Roman" w:hAnsi="Times New Roman" w:cs="Times New Roman"/>
        </w:rPr>
        <w:t xml:space="preserve"> </w:t>
      </w:r>
      <w:r w:rsidR="001C5E1C" w:rsidRPr="00F36B06">
        <w:rPr>
          <w:rFonts w:ascii="Times New Roman" w:hAnsi="Times New Roman" w:cs="Times New Roman"/>
        </w:rPr>
        <w:t xml:space="preserve">maksātnespējas procesam iespēju robežās ir jābūt pabeigtam </w:t>
      </w:r>
      <w:r w:rsidR="0002254B" w:rsidRPr="00F36B06">
        <w:rPr>
          <w:rFonts w:ascii="Times New Roman" w:hAnsi="Times New Roman" w:cs="Times New Roman"/>
        </w:rPr>
        <w:t>sapratīgā termiņā pēc mantas pārdošanas</w:t>
      </w:r>
      <w:r w:rsidR="001521A7" w:rsidRPr="00F36B06">
        <w:rPr>
          <w:rFonts w:ascii="Times New Roman" w:hAnsi="Times New Roman" w:cs="Times New Roman"/>
        </w:rPr>
        <w:t xml:space="preserve">. </w:t>
      </w:r>
      <w:r w:rsidR="00971DAC" w:rsidRPr="00F36B06">
        <w:rPr>
          <w:rFonts w:ascii="Times New Roman" w:hAnsi="Times New Roman" w:cs="Times New Roman"/>
        </w:rPr>
        <w:t xml:space="preserve">Maksātnespējas procesa termiņš var tikt pagarināts, ja </w:t>
      </w:r>
      <w:r w:rsidR="00DC3A11" w:rsidRPr="00F36B06">
        <w:rPr>
          <w:rFonts w:ascii="Times New Roman" w:hAnsi="Times New Roman" w:cs="Times New Roman"/>
        </w:rPr>
        <w:t>procesā noris</w:t>
      </w:r>
      <w:r w:rsidR="005406D1" w:rsidRPr="00F36B06">
        <w:rPr>
          <w:rFonts w:ascii="Times New Roman" w:hAnsi="Times New Roman" w:cs="Times New Roman"/>
        </w:rPr>
        <w:t>inās tiesvedība vai notiek kriminālproces</w:t>
      </w:r>
      <w:r w:rsidR="00834440" w:rsidRPr="00F36B06">
        <w:rPr>
          <w:rFonts w:ascii="Times New Roman" w:hAnsi="Times New Roman" w:cs="Times New Roman"/>
        </w:rPr>
        <w:t>s</w:t>
      </w:r>
      <w:r w:rsidR="005406D1" w:rsidRPr="00F36B06">
        <w:rPr>
          <w:rFonts w:ascii="Times New Roman" w:hAnsi="Times New Roman" w:cs="Times New Roman"/>
        </w:rPr>
        <w:t>.</w:t>
      </w:r>
      <w:r w:rsidR="001521A7" w:rsidRPr="00F36B06">
        <w:rPr>
          <w:rFonts w:ascii="Times New Roman" w:hAnsi="Times New Roman" w:cs="Times New Roman"/>
        </w:rPr>
        <w:t xml:space="preserve"> </w:t>
      </w:r>
      <w:r w:rsidR="0005542F" w:rsidRPr="00F36B06">
        <w:rPr>
          <w:rFonts w:ascii="Times New Roman" w:hAnsi="Times New Roman" w:cs="Times New Roman"/>
        </w:rPr>
        <w:t xml:space="preserve">Līdz ar to, ja </w:t>
      </w:r>
      <w:r w:rsidRPr="00F36B06">
        <w:rPr>
          <w:rFonts w:ascii="Times New Roman" w:hAnsi="Times New Roman" w:cs="Times New Roman"/>
        </w:rPr>
        <w:t xml:space="preserve">parāda piedziņa no debitora nav iespējama </w:t>
      </w:r>
      <w:r w:rsidR="00102355" w:rsidRPr="00F36B06">
        <w:rPr>
          <w:rFonts w:ascii="Times New Roman" w:hAnsi="Times New Roman" w:cs="Times New Roman"/>
        </w:rPr>
        <w:t xml:space="preserve">tādā </w:t>
      </w:r>
      <w:r w:rsidRPr="00F36B06">
        <w:rPr>
          <w:rFonts w:ascii="Times New Roman" w:hAnsi="Times New Roman" w:cs="Times New Roman"/>
        </w:rPr>
        <w:t>termiņā</w:t>
      </w:r>
      <w:r w:rsidR="005406D1" w:rsidRPr="00F36B06">
        <w:rPr>
          <w:rFonts w:ascii="Times New Roman" w:hAnsi="Times New Roman" w:cs="Times New Roman"/>
        </w:rPr>
        <w:t>, kas ir samērīgs ar maksātnespējas procesa norises termiņ</w:t>
      </w:r>
      <w:r w:rsidR="00102355" w:rsidRPr="00F36B06">
        <w:rPr>
          <w:rFonts w:ascii="Times New Roman" w:hAnsi="Times New Roman" w:cs="Times New Roman"/>
        </w:rPr>
        <w:t>u</w:t>
      </w:r>
      <w:r w:rsidR="001B2D80" w:rsidRPr="00F36B06">
        <w:rPr>
          <w:rFonts w:ascii="Times New Roman" w:hAnsi="Times New Roman" w:cs="Times New Roman"/>
        </w:rPr>
        <w:t xml:space="preserve">, par </w:t>
      </w:r>
      <w:r w:rsidR="0019731F" w:rsidRPr="00F36B06">
        <w:rPr>
          <w:rFonts w:ascii="Times New Roman" w:hAnsi="Times New Roman" w:cs="Times New Roman"/>
        </w:rPr>
        <w:t>maksātnespējas procesa mērķim atbilstošā</w:t>
      </w:r>
      <w:r w:rsidR="00CA7A09" w:rsidRPr="00F36B06">
        <w:rPr>
          <w:rFonts w:ascii="Times New Roman" w:hAnsi="Times New Roman" w:cs="Times New Roman"/>
        </w:rPr>
        <w:t xml:space="preserve">ku risinājumu </w:t>
      </w:r>
      <w:r w:rsidR="00102355" w:rsidRPr="00F36B06">
        <w:rPr>
          <w:rFonts w:ascii="Times New Roman" w:hAnsi="Times New Roman" w:cs="Times New Roman"/>
        </w:rPr>
        <w:t>tiek uzskatīta</w:t>
      </w:r>
      <w:r w:rsidR="001B2D80" w:rsidRPr="00F36B06">
        <w:rPr>
          <w:rFonts w:ascii="Times New Roman" w:hAnsi="Times New Roman" w:cs="Times New Roman"/>
        </w:rPr>
        <w:t xml:space="preserve"> parāda </w:t>
      </w:r>
      <w:r w:rsidR="005856C1" w:rsidRPr="00F36B06">
        <w:rPr>
          <w:rFonts w:ascii="Times New Roman" w:hAnsi="Times New Roman" w:cs="Times New Roman"/>
        </w:rPr>
        <w:t>cesija.</w:t>
      </w:r>
      <w:r w:rsidRPr="00F36B06">
        <w:rPr>
          <w:rFonts w:ascii="Times New Roman" w:hAnsi="Times New Roman" w:cs="Times New Roman"/>
        </w:rPr>
        <w:t xml:space="preserve"> </w:t>
      </w:r>
      <w:r w:rsidR="00DF061D" w:rsidRPr="00F36B06">
        <w:rPr>
          <w:rFonts w:ascii="Times New Roman" w:hAnsi="Times New Roman" w:cs="Times New Roman"/>
        </w:rPr>
        <w:t>Tāpēc atbilstoši</w:t>
      </w:r>
      <w:r w:rsidR="00303358" w:rsidRPr="00F36B06">
        <w:rPr>
          <w:rFonts w:ascii="Times New Roman" w:hAnsi="Times New Roman" w:cs="Times New Roman"/>
        </w:rPr>
        <w:t xml:space="preserve"> Maksātnespējas likum</w:t>
      </w:r>
      <w:r w:rsidR="00DF061D" w:rsidRPr="00F36B06">
        <w:rPr>
          <w:rFonts w:ascii="Times New Roman" w:hAnsi="Times New Roman" w:cs="Times New Roman"/>
        </w:rPr>
        <w:t>am</w:t>
      </w:r>
      <w:r w:rsidR="00955CE0" w:rsidRPr="00F36B06">
        <w:rPr>
          <w:rFonts w:ascii="Times New Roman" w:hAnsi="Times New Roman" w:cs="Times New Roman"/>
        </w:rPr>
        <w:t xml:space="preserve"> </w:t>
      </w:r>
      <w:r w:rsidR="00955CE0" w:rsidRPr="00F36B06">
        <w:rPr>
          <w:rFonts w:ascii="Times New Roman" w:eastAsia="Times New Roman" w:hAnsi="Times New Roman" w:cs="Times New Roman"/>
          <w:color w:val="000000" w:themeColor="text1"/>
        </w:rPr>
        <w:t>administrators var cedēt parādnieka prasījumus pret trešajām personām, ja parāda piedziņa varētu būt apgrūtināta vai ilgstoša.</w:t>
      </w:r>
      <w:r w:rsidR="00955CE0" w:rsidRPr="00F36B06">
        <w:rPr>
          <w:rFonts w:ascii="Times New Roman" w:eastAsia="Times New Roman" w:hAnsi="Times New Roman" w:cs="Times New Roman"/>
          <w:color w:val="000000" w:themeColor="text1"/>
          <w:vertAlign w:val="superscript"/>
        </w:rPr>
        <w:footnoteReference w:id="27"/>
      </w:r>
      <w:r w:rsidR="004A537D" w:rsidRPr="00F36B06">
        <w:rPr>
          <w:rFonts w:ascii="Times New Roman" w:eastAsia="Times New Roman" w:hAnsi="Times New Roman" w:cs="Times New Roman"/>
          <w:kern w:val="0"/>
          <w14:ligatures w14:val="none"/>
        </w:rPr>
        <w:t xml:space="preserve"> </w:t>
      </w:r>
    </w:p>
    <w:p w14:paraId="6FB8CD23" w14:textId="77777777" w:rsidR="00C71EB2" w:rsidRPr="00F36B06" w:rsidRDefault="002E514E"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Tomēr</w:t>
      </w:r>
      <w:r w:rsidR="00436793" w:rsidRPr="00F36B06">
        <w:rPr>
          <w:rFonts w:ascii="Times New Roman" w:hAnsi="Times New Roman" w:cs="Times New Roman"/>
        </w:rPr>
        <w:t xml:space="preserve"> </w:t>
      </w:r>
      <w:r w:rsidR="006F45DD" w:rsidRPr="00F36B06">
        <w:rPr>
          <w:rFonts w:ascii="Times New Roman" w:hAnsi="Times New Roman" w:cs="Times New Roman"/>
        </w:rPr>
        <w:t>parādniek</w:t>
      </w:r>
      <w:r w:rsidR="00613961" w:rsidRPr="00F36B06">
        <w:rPr>
          <w:rFonts w:ascii="Times New Roman" w:hAnsi="Times New Roman" w:cs="Times New Roman"/>
        </w:rPr>
        <w:t>a manta maksātnespējas proce</w:t>
      </w:r>
      <w:r w:rsidR="008B03DD" w:rsidRPr="00F36B06">
        <w:rPr>
          <w:rFonts w:ascii="Times New Roman" w:hAnsi="Times New Roman" w:cs="Times New Roman"/>
        </w:rPr>
        <w:t>sā</w:t>
      </w:r>
      <w:r w:rsidR="00613961" w:rsidRPr="00F36B06">
        <w:rPr>
          <w:rFonts w:ascii="Times New Roman" w:hAnsi="Times New Roman" w:cs="Times New Roman"/>
        </w:rPr>
        <w:t xml:space="preserve">, tostarp, ņemot vērā tā norises termiņu, </w:t>
      </w:r>
      <w:r w:rsidR="009B2A0C" w:rsidRPr="00F36B06">
        <w:rPr>
          <w:rFonts w:ascii="Times New Roman" w:hAnsi="Times New Roman" w:cs="Times New Roman"/>
        </w:rPr>
        <w:t>tiek</w:t>
      </w:r>
      <w:r w:rsidR="00613961" w:rsidRPr="00F36B06">
        <w:rPr>
          <w:rFonts w:ascii="Times New Roman" w:hAnsi="Times New Roman" w:cs="Times New Roman"/>
        </w:rPr>
        <w:t xml:space="preserve"> atsavinā</w:t>
      </w:r>
      <w:r w:rsidR="009B2A0C" w:rsidRPr="00F36B06">
        <w:rPr>
          <w:rFonts w:ascii="Times New Roman" w:hAnsi="Times New Roman" w:cs="Times New Roman"/>
        </w:rPr>
        <w:t>ta</w:t>
      </w:r>
      <w:r w:rsidR="00613961" w:rsidRPr="00F36B06">
        <w:rPr>
          <w:rFonts w:ascii="Times New Roman" w:hAnsi="Times New Roman" w:cs="Times New Roman"/>
        </w:rPr>
        <w:t xml:space="preserve"> par pie</w:t>
      </w:r>
      <w:r w:rsidR="009F4233" w:rsidRPr="00F36B06">
        <w:rPr>
          <w:rFonts w:ascii="Times New Roman" w:hAnsi="Times New Roman" w:cs="Times New Roman"/>
        </w:rPr>
        <w:t>spiedu pārdošanas cenu, kas ir krietni zemāka par tirgus cenu</w:t>
      </w:r>
      <w:r w:rsidR="00436793" w:rsidRPr="00F36B06">
        <w:rPr>
          <w:rFonts w:ascii="Times New Roman" w:hAnsi="Times New Roman" w:cs="Times New Roman"/>
        </w:rPr>
        <w:t>. Tāpat ces</w:t>
      </w:r>
      <w:r w:rsidR="00DF5A33" w:rsidRPr="00F36B06">
        <w:rPr>
          <w:rFonts w:ascii="Times New Roman" w:hAnsi="Times New Roman" w:cs="Times New Roman"/>
        </w:rPr>
        <w:t xml:space="preserve">iju administrators izmanto </w:t>
      </w:r>
      <w:r w:rsidR="00675A04" w:rsidRPr="00F36B06">
        <w:rPr>
          <w:rFonts w:ascii="Times New Roman" w:hAnsi="Times New Roman" w:cs="Times New Roman"/>
        </w:rPr>
        <w:t>gadījumos, kad</w:t>
      </w:r>
      <w:r w:rsidR="00DF5A33" w:rsidRPr="00F36B06">
        <w:rPr>
          <w:rFonts w:ascii="Times New Roman" w:hAnsi="Times New Roman" w:cs="Times New Roman"/>
        </w:rPr>
        <w:t xml:space="preserve"> parādu nav izdevies piedzīt</w:t>
      </w:r>
      <w:r w:rsidR="00EE534C" w:rsidRPr="00F36B06">
        <w:rPr>
          <w:rFonts w:ascii="Times New Roman" w:hAnsi="Times New Roman" w:cs="Times New Roman"/>
        </w:rPr>
        <w:t>, jo personai, pret kuru tiek vēr</w:t>
      </w:r>
      <w:r w:rsidR="008D1449" w:rsidRPr="00F36B06">
        <w:rPr>
          <w:rFonts w:ascii="Times New Roman" w:hAnsi="Times New Roman" w:cs="Times New Roman"/>
        </w:rPr>
        <w:t>s</w:t>
      </w:r>
      <w:r w:rsidR="00EE534C" w:rsidRPr="00F36B06">
        <w:rPr>
          <w:rFonts w:ascii="Times New Roman" w:hAnsi="Times New Roman" w:cs="Times New Roman"/>
        </w:rPr>
        <w:t xml:space="preserve">ta </w:t>
      </w:r>
      <w:r w:rsidR="008D1449" w:rsidRPr="00F36B06">
        <w:rPr>
          <w:rFonts w:ascii="Times New Roman" w:hAnsi="Times New Roman" w:cs="Times New Roman"/>
        </w:rPr>
        <w:t>piedziņa</w:t>
      </w:r>
      <w:r w:rsidR="00A76A6D" w:rsidRPr="00F36B06">
        <w:rPr>
          <w:rFonts w:ascii="Times New Roman" w:hAnsi="Times New Roman" w:cs="Times New Roman"/>
        </w:rPr>
        <w:t>,</w:t>
      </w:r>
      <w:r w:rsidR="008D1449" w:rsidRPr="00F36B06">
        <w:rPr>
          <w:rFonts w:ascii="Times New Roman" w:hAnsi="Times New Roman" w:cs="Times New Roman"/>
        </w:rPr>
        <w:t xml:space="preserve"> nav mantas un </w:t>
      </w:r>
      <w:r w:rsidR="00AB77B0" w:rsidRPr="00F36B06">
        <w:rPr>
          <w:rFonts w:ascii="Times New Roman" w:hAnsi="Times New Roman" w:cs="Times New Roman"/>
        </w:rPr>
        <w:t>ienākumu, kas padara debitor</w:t>
      </w:r>
      <w:r w:rsidR="00F057F8" w:rsidRPr="00F36B06">
        <w:rPr>
          <w:rFonts w:ascii="Times New Roman" w:hAnsi="Times New Roman" w:cs="Times New Roman"/>
        </w:rPr>
        <w:t>a</w:t>
      </w:r>
      <w:r w:rsidR="00AB77B0" w:rsidRPr="00F36B06">
        <w:rPr>
          <w:rFonts w:ascii="Times New Roman" w:hAnsi="Times New Roman" w:cs="Times New Roman"/>
        </w:rPr>
        <w:t xml:space="preserve"> parādu </w:t>
      </w:r>
      <w:r w:rsidR="00F057F8" w:rsidRPr="00F36B06">
        <w:rPr>
          <w:rFonts w:ascii="Times New Roman" w:hAnsi="Times New Roman" w:cs="Times New Roman"/>
        </w:rPr>
        <w:t xml:space="preserve">mazāk pievilcīgu </w:t>
      </w:r>
      <w:r w:rsidR="007132B3" w:rsidRPr="00F36B06">
        <w:rPr>
          <w:rFonts w:ascii="Times New Roman" w:hAnsi="Times New Roman" w:cs="Times New Roman"/>
        </w:rPr>
        <w:t>potenciāliem pircējiem</w:t>
      </w:r>
      <w:r w:rsidR="00B27481" w:rsidRPr="00F36B06">
        <w:rPr>
          <w:rFonts w:ascii="Times New Roman" w:hAnsi="Times New Roman" w:cs="Times New Roman"/>
        </w:rPr>
        <w:t xml:space="preserve">. Ievērojot minēto, </w:t>
      </w:r>
      <w:r w:rsidR="009B2A0C" w:rsidRPr="00F36B06">
        <w:rPr>
          <w:rFonts w:ascii="Times New Roman" w:hAnsi="Times New Roman" w:cs="Times New Roman"/>
        </w:rPr>
        <w:t xml:space="preserve">cesijas rezultātā </w:t>
      </w:r>
      <w:r w:rsidR="006C3CA0" w:rsidRPr="00F36B06">
        <w:rPr>
          <w:rFonts w:ascii="Times New Roman" w:hAnsi="Times New Roman" w:cs="Times New Roman"/>
        </w:rPr>
        <w:t xml:space="preserve">atgūtā summa </w:t>
      </w:r>
      <w:r w:rsidR="00F02679" w:rsidRPr="00F36B06">
        <w:rPr>
          <w:rFonts w:ascii="Times New Roman" w:hAnsi="Times New Roman" w:cs="Times New Roman"/>
        </w:rPr>
        <w:t xml:space="preserve">ir vismazākā, salīdzinot </w:t>
      </w:r>
      <w:r w:rsidR="00484D03" w:rsidRPr="00F36B06">
        <w:rPr>
          <w:rFonts w:ascii="Times New Roman" w:hAnsi="Times New Roman" w:cs="Times New Roman"/>
        </w:rPr>
        <w:t>ar citiem atgūšanas veidiem</w:t>
      </w:r>
      <w:r w:rsidR="005C4EBA" w:rsidRPr="00F36B06">
        <w:rPr>
          <w:rFonts w:ascii="Times New Roman" w:hAnsi="Times New Roman" w:cs="Times New Roman"/>
        </w:rPr>
        <w:t xml:space="preserve"> – vien 7</w:t>
      </w:r>
      <w:r w:rsidR="00E94AA0" w:rsidRPr="00F36B06">
        <w:rPr>
          <w:rFonts w:ascii="Times New Roman" w:hAnsi="Times New Roman" w:cs="Times New Roman"/>
        </w:rPr>
        <w:t> </w:t>
      </w:r>
      <w:r w:rsidR="005C4EBA" w:rsidRPr="00F36B06">
        <w:rPr>
          <w:rFonts w:ascii="Times New Roman" w:hAnsi="Times New Roman" w:cs="Times New Roman"/>
        </w:rPr>
        <w:t>% no kopējās parādu summas</w:t>
      </w:r>
      <w:r w:rsidR="00484D03" w:rsidRPr="00F36B06">
        <w:rPr>
          <w:rFonts w:ascii="Times New Roman" w:hAnsi="Times New Roman" w:cs="Times New Roman"/>
        </w:rPr>
        <w:t>.</w:t>
      </w:r>
      <w:r w:rsidR="00E91C4D" w:rsidRPr="00F36B06">
        <w:rPr>
          <w:rFonts w:ascii="Times New Roman" w:hAnsi="Times New Roman" w:cs="Times New Roman"/>
        </w:rPr>
        <w:t xml:space="preserve"> </w:t>
      </w:r>
    </w:p>
    <w:p w14:paraId="40AD21BC" w14:textId="77777777" w:rsidR="00C71EB2" w:rsidRPr="00F36B06" w:rsidRDefault="00E91C4D"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Maksātnespējas likums </w:t>
      </w:r>
      <w:r w:rsidR="00942ABD" w:rsidRPr="00F36B06">
        <w:rPr>
          <w:rFonts w:ascii="Times New Roman" w:hAnsi="Times New Roman" w:cs="Times New Roman"/>
        </w:rPr>
        <w:t>nosaka vispārīgu administratora pienākumu nodrošināt efektīvu un likumīgu maksātnespējas procesa gaitu</w:t>
      </w:r>
      <w:r w:rsidR="00650277" w:rsidRPr="00F36B06">
        <w:rPr>
          <w:rFonts w:ascii="Times New Roman" w:hAnsi="Times New Roman" w:cs="Times New Roman"/>
        </w:rPr>
        <w:t xml:space="preserve"> un</w:t>
      </w:r>
      <w:r w:rsidR="0092070F" w:rsidRPr="00F36B06">
        <w:rPr>
          <w:rFonts w:ascii="Times New Roman" w:hAnsi="Times New Roman" w:cs="Times New Roman"/>
        </w:rPr>
        <w:t xml:space="preserve"> parādnieka manta</w:t>
      </w:r>
      <w:r w:rsidR="00650277" w:rsidRPr="00F36B06">
        <w:rPr>
          <w:rFonts w:ascii="Times New Roman" w:hAnsi="Times New Roman" w:cs="Times New Roman"/>
        </w:rPr>
        <w:t>s</w:t>
      </w:r>
      <w:r w:rsidR="0092070F" w:rsidRPr="00F36B06">
        <w:rPr>
          <w:rFonts w:ascii="Times New Roman" w:hAnsi="Times New Roman" w:cs="Times New Roman"/>
        </w:rPr>
        <w:t xml:space="preserve"> pārdo</w:t>
      </w:r>
      <w:r w:rsidR="00650277" w:rsidRPr="00F36B06">
        <w:rPr>
          <w:rFonts w:ascii="Times New Roman" w:hAnsi="Times New Roman" w:cs="Times New Roman"/>
        </w:rPr>
        <w:t>šanu</w:t>
      </w:r>
      <w:r w:rsidR="0092070F" w:rsidRPr="00F36B06">
        <w:rPr>
          <w:rFonts w:ascii="Times New Roman" w:hAnsi="Times New Roman" w:cs="Times New Roman"/>
        </w:rPr>
        <w:t xml:space="preserve"> par pēc iespējas augstāku </w:t>
      </w:r>
      <w:r w:rsidR="0092070F" w:rsidRPr="00F36B06">
        <w:rPr>
          <w:rFonts w:ascii="Times New Roman" w:hAnsi="Times New Roman" w:cs="Times New Roman"/>
        </w:rPr>
        <w:lastRenderedPageBreak/>
        <w:t>cenu</w:t>
      </w:r>
      <w:r w:rsidR="00AC49E4" w:rsidRPr="00F36B06">
        <w:rPr>
          <w:rStyle w:val="FootnoteReference"/>
          <w:rFonts w:ascii="Times New Roman" w:hAnsi="Times New Roman" w:cs="Times New Roman"/>
        </w:rPr>
        <w:footnoteReference w:id="28"/>
      </w:r>
      <w:r w:rsidR="00E30ED8" w:rsidRPr="00F36B06">
        <w:rPr>
          <w:rFonts w:ascii="Times New Roman" w:hAnsi="Times New Roman" w:cs="Times New Roman"/>
        </w:rPr>
        <w:t>, tomēr šobrīd nav noregulēt</w:t>
      </w:r>
      <w:r w:rsidR="0000601F" w:rsidRPr="00F36B06">
        <w:rPr>
          <w:rFonts w:ascii="Times New Roman" w:hAnsi="Times New Roman" w:cs="Times New Roman"/>
        </w:rPr>
        <w:t>a procedūra, k</w:t>
      </w:r>
      <w:r w:rsidR="006540B6" w:rsidRPr="00F36B06">
        <w:rPr>
          <w:rFonts w:ascii="Times New Roman" w:hAnsi="Times New Roman" w:cs="Times New Roman"/>
        </w:rPr>
        <w:t>as administratoram</w:t>
      </w:r>
      <w:r w:rsidR="0064262E" w:rsidRPr="00F36B06">
        <w:rPr>
          <w:rFonts w:ascii="Times New Roman" w:hAnsi="Times New Roman" w:cs="Times New Roman"/>
        </w:rPr>
        <w:t xml:space="preserve"> būtu</w:t>
      </w:r>
      <w:r w:rsidR="006540B6" w:rsidRPr="00F36B06">
        <w:rPr>
          <w:rFonts w:ascii="Times New Roman" w:hAnsi="Times New Roman" w:cs="Times New Roman"/>
        </w:rPr>
        <w:t xml:space="preserve"> jāievēro, </w:t>
      </w:r>
      <w:r w:rsidR="00EE2312" w:rsidRPr="00F36B06">
        <w:rPr>
          <w:rFonts w:ascii="Times New Roman" w:hAnsi="Times New Roman" w:cs="Times New Roman"/>
        </w:rPr>
        <w:t xml:space="preserve">lai </w:t>
      </w:r>
      <w:r w:rsidR="0064262E" w:rsidRPr="00F36B06">
        <w:rPr>
          <w:rFonts w:ascii="Times New Roman" w:hAnsi="Times New Roman" w:cs="Times New Roman"/>
        </w:rPr>
        <w:t>sasniegtu likumā noteikto mērķi</w:t>
      </w:r>
      <w:r w:rsidR="007F6429" w:rsidRPr="00F36B06">
        <w:rPr>
          <w:rFonts w:ascii="Times New Roman" w:hAnsi="Times New Roman" w:cs="Times New Roman"/>
        </w:rPr>
        <w:t xml:space="preserve">. </w:t>
      </w:r>
    </w:p>
    <w:p w14:paraId="616F5555" w14:textId="1FA2B958" w:rsidR="00CA419C" w:rsidRPr="00F36B06" w:rsidRDefault="005D2FA1"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Ievērojot minēto, lai </w:t>
      </w:r>
      <w:r w:rsidR="0057439C" w:rsidRPr="00F36B06">
        <w:rPr>
          <w:rFonts w:ascii="Times New Roman" w:eastAsia="Times New Roman" w:hAnsi="Times New Roman" w:cs="Times New Roman"/>
          <w:color w:val="000000" w:themeColor="text1"/>
        </w:rPr>
        <w:t>veicināt</w:t>
      </w:r>
      <w:r w:rsidRPr="00F36B06">
        <w:rPr>
          <w:rFonts w:ascii="Times New Roman" w:eastAsia="Times New Roman" w:hAnsi="Times New Roman" w:cs="Times New Roman"/>
          <w:color w:val="000000" w:themeColor="text1"/>
        </w:rPr>
        <w:t xml:space="preserve">u </w:t>
      </w:r>
      <w:r w:rsidR="0057439C" w:rsidRPr="00F36B06">
        <w:rPr>
          <w:rFonts w:ascii="Times New Roman" w:eastAsia="Times New Roman" w:hAnsi="Times New Roman" w:cs="Times New Roman"/>
          <w:color w:val="000000" w:themeColor="text1"/>
        </w:rPr>
        <w:t xml:space="preserve">vienveidīgu izpratni jautājumā par efektīvu rīcību ar parādnieka mantu, </w:t>
      </w:r>
      <w:r w:rsidR="001E1C23" w:rsidRPr="00F36B06">
        <w:rPr>
          <w:rFonts w:ascii="Times New Roman" w:eastAsia="Times New Roman" w:hAnsi="Times New Roman" w:cs="Times New Roman"/>
          <w:color w:val="000000" w:themeColor="text1"/>
        </w:rPr>
        <w:t xml:space="preserve">Maksātnespējas kontroles dienests ir izstrādājis </w:t>
      </w:r>
      <w:r w:rsidR="00F61015" w:rsidRPr="00F36B06">
        <w:rPr>
          <w:rFonts w:ascii="Times New Roman" w:eastAsia="Times New Roman" w:hAnsi="Times New Roman" w:cs="Times New Roman"/>
          <w:color w:val="000000" w:themeColor="text1"/>
        </w:rPr>
        <w:t>Mantas pārdošanas vadlīnijas</w:t>
      </w:r>
      <w:r w:rsidR="0061734B" w:rsidRPr="00F36B06">
        <w:rPr>
          <w:rFonts w:ascii="Times New Roman" w:eastAsia="Times New Roman" w:hAnsi="Times New Roman" w:cs="Times New Roman"/>
          <w:color w:val="000000" w:themeColor="text1"/>
        </w:rPr>
        <w:t xml:space="preserve"> (turpmāk</w:t>
      </w:r>
      <w:r w:rsidR="00FB1F0B" w:rsidRPr="00F36B06">
        <w:rPr>
          <w:rFonts w:ascii="Times New Roman" w:eastAsia="Times New Roman" w:hAnsi="Times New Roman" w:cs="Times New Roman"/>
          <w:color w:val="000000" w:themeColor="text1"/>
        </w:rPr>
        <w:t> – Vadlīnijas)</w:t>
      </w:r>
      <w:r w:rsidR="000850D1" w:rsidRPr="00F36B06">
        <w:rPr>
          <w:rStyle w:val="FootnoteReference"/>
          <w:rFonts w:ascii="Times New Roman" w:eastAsia="Times New Roman" w:hAnsi="Times New Roman" w:cs="Times New Roman"/>
          <w:color w:val="000000" w:themeColor="text1"/>
        </w:rPr>
        <w:footnoteReference w:id="29"/>
      </w:r>
      <w:r w:rsidR="00F61015" w:rsidRPr="00F36B06">
        <w:rPr>
          <w:rFonts w:ascii="Times New Roman" w:eastAsia="Times New Roman" w:hAnsi="Times New Roman" w:cs="Times New Roman"/>
          <w:color w:val="000000" w:themeColor="text1"/>
        </w:rPr>
        <w:t xml:space="preserve">, </w:t>
      </w:r>
      <w:r w:rsidR="0057439C" w:rsidRPr="00F36B06">
        <w:rPr>
          <w:rFonts w:ascii="Times New Roman" w:eastAsia="Times New Roman" w:hAnsi="Times New Roman" w:cs="Times New Roman"/>
          <w:color w:val="000000" w:themeColor="text1"/>
        </w:rPr>
        <w:t>kas aptver ne tikai Maksātnespējas likumā noteikto procedūru piemērošanas aprakstu, bet arī sniedz atsevišķus praktiskus piemērus, kuri iegūti Maksātnespējas kontroles dienestam īstenojot tā kompetencē esošo uzraudzības instrumentu piemērošanu.</w:t>
      </w:r>
      <w:r w:rsidR="007F6429" w:rsidRPr="00F36B06">
        <w:rPr>
          <w:rFonts w:ascii="Times New Roman" w:hAnsi="Times New Roman" w:cs="Times New Roman"/>
        </w:rPr>
        <w:t xml:space="preserve"> </w:t>
      </w:r>
      <w:r w:rsidR="00536025" w:rsidRPr="00F36B06">
        <w:rPr>
          <w:rFonts w:ascii="Times New Roman" w:hAnsi="Times New Roman" w:cs="Times New Roman"/>
        </w:rPr>
        <w:t>Vadlīnijās</w:t>
      </w:r>
      <w:r w:rsidR="00062B0C" w:rsidRPr="00F36B06">
        <w:rPr>
          <w:rFonts w:ascii="Times New Roman" w:hAnsi="Times New Roman" w:cs="Times New Roman"/>
        </w:rPr>
        <w:t xml:space="preserve"> attiecībā uz mantas pārdošanu ārpus piespiedu izsoles procedūras</w:t>
      </w:r>
      <w:r w:rsidR="00196FA7" w:rsidRPr="00F36B06">
        <w:rPr>
          <w:rFonts w:ascii="Times New Roman" w:hAnsi="Times New Roman" w:cs="Times New Roman"/>
        </w:rPr>
        <w:t xml:space="preserve"> </w:t>
      </w:r>
      <w:r w:rsidR="00536025" w:rsidRPr="00F36B06">
        <w:rPr>
          <w:rFonts w:ascii="Times New Roman" w:hAnsi="Times New Roman" w:cs="Times New Roman"/>
        </w:rPr>
        <w:t xml:space="preserve">tostarp ir norādīts, ka </w:t>
      </w:r>
      <w:r w:rsidR="00FB1F0B" w:rsidRPr="00F36B06">
        <w:rPr>
          <w:rFonts w:ascii="Times New Roman" w:eastAsia="Times New Roman" w:hAnsi="Times New Roman" w:cs="Times New Roman"/>
          <w:color w:val="000000"/>
          <w:kern w:val="0"/>
          <w14:ligatures w14:val="none"/>
        </w:rPr>
        <w:t>b</w:t>
      </w:r>
      <w:r w:rsidR="00E515CE" w:rsidRPr="00F36B06">
        <w:rPr>
          <w:rFonts w:ascii="Times New Roman" w:eastAsia="Times New Roman" w:hAnsi="Times New Roman" w:cs="Times New Roman"/>
          <w:color w:val="000000"/>
          <w:kern w:val="0"/>
          <w14:ligatures w14:val="none"/>
        </w:rPr>
        <w:t xml:space="preserve">ūtiski ņemt vērā, ka pārdošanas veidam ir jābūt skaidram, tādam, kas maksimāli lielam interesentu lokam dod vienādas tiesības pretendēt uz parādnieka mantu. Jo parādnieka mantas pārdošanas process ir publiskāks, jo iespēja iegūt lielāku samaksu palielinās, piemēram, </w:t>
      </w:r>
      <w:r w:rsidR="0092398B" w:rsidRPr="00F36B06">
        <w:rPr>
          <w:rFonts w:ascii="Times New Roman" w:eastAsia="Times New Roman" w:hAnsi="Times New Roman" w:cs="Times New Roman"/>
          <w:color w:val="000000"/>
          <w:kern w:val="0"/>
          <w14:ligatures w14:val="none"/>
        </w:rPr>
        <w:t>pozitīvi</w:t>
      </w:r>
      <w:r w:rsidR="00E515CE" w:rsidRPr="00F36B06">
        <w:rPr>
          <w:rFonts w:ascii="Times New Roman" w:eastAsia="Times New Roman" w:hAnsi="Times New Roman" w:cs="Times New Roman"/>
          <w:color w:val="000000"/>
          <w:kern w:val="0"/>
          <w14:ligatures w14:val="none"/>
        </w:rPr>
        <w:t xml:space="preserve"> vērtējama sociālo tīklu un pārdošanas platformu izmantošana parādnieka mantas pārdošanas procesā</w:t>
      </w:r>
      <w:r w:rsidR="00AC10B6" w:rsidRPr="00F36B06">
        <w:rPr>
          <w:rFonts w:ascii="Times New Roman" w:eastAsia="Times New Roman" w:hAnsi="Times New Roman" w:cs="Times New Roman"/>
          <w:color w:val="000000"/>
          <w:kern w:val="0"/>
          <w14:ligatures w14:val="none"/>
        </w:rPr>
        <w:t>.</w:t>
      </w:r>
      <w:r w:rsidR="00F939FE" w:rsidRPr="00F36B06">
        <w:rPr>
          <w:rFonts w:ascii="Times New Roman" w:hAnsi="Times New Roman" w:cs="Times New Roman"/>
        </w:rPr>
        <w:t xml:space="preserve"> </w:t>
      </w:r>
    </w:p>
    <w:p w14:paraId="5006FAC6" w14:textId="51F14314" w:rsidR="00214B64" w:rsidRPr="00F36B06" w:rsidRDefault="0092398B" w:rsidP="00D35D64">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Tomēr vadlīnijām ir ieteikum</w:t>
      </w:r>
      <w:r w:rsidR="00D94A41" w:rsidRPr="00F36B06">
        <w:rPr>
          <w:rFonts w:ascii="Times New Roman" w:hAnsi="Times New Roman" w:cs="Times New Roman"/>
        </w:rPr>
        <w:t>a</w:t>
      </w:r>
      <w:r w:rsidRPr="00F36B06">
        <w:rPr>
          <w:rFonts w:ascii="Times New Roman" w:hAnsi="Times New Roman" w:cs="Times New Roman"/>
        </w:rPr>
        <w:t xml:space="preserve"> raksturs un šobrīd nav vienot</w:t>
      </w:r>
      <w:r w:rsidR="003220E7" w:rsidRPr="00F36B06">
        <w:rPr>
          <w:rFonts w:ascii="Times New Roman" w:hAnsi="Times New Roman" w:cs="Times New Roman"/>
        </w:rPr>
        <w:t>a</w:t>
      </w:r>
      <w:r w:rsidRPr="00F36B06">
        <w:rPr>
          <w:rFonts w:ascii="Times New Roman" w:hAnsi="Times New Roman" w:cs="Times New Roman"/>
        </w:rPr>
        <w:t>s prakses</w:t>
      </w:r>
      <w:r w:rsidR="008F7FAA" w:rsidRPr="00F36B06">
        <w:rPr>
          <w:rFonts w:ascii="Times New Roman" w:hAnsi="Times New Roman" w:cs="Times New Roman"/>
        </w:rPr>
        <w:t xml:space="preserve"> – atsevišķos gadījumos </w:t>
      </w:r>
      <w:r w:rsidR="002E52C5" w:rsidRPr="00F36B06">
        <w:rPr>
          <w:rFonts w:ascii="Times New Roman" w:hAnsi="Times New Roman" w:cs="Times New Roman"/>
        </w:rPr>
        <w:t>debitoru parādi tiek pārdoti izsol</w:t>
      </w:r>
      <w:r w:rsidR="00D94A41" w:rsidRPr="00F36B06">
        <w:rPr>
          <w:rFonts w:ascii="Times New Roman" w:hAnsi="Times New Roman" w:cs="Times New Roman"/>
        </w:rPr>
        <w:t>ē</w:t>
      </w:r>
      <w:r w:rsidR="002E52C5" w:rsidRPr="00F36B06">
        <w:rPr>
          <w:rFonts w:ascii="Times New Roman" w:hAnsi="Times New Roman" w:cs="Times New Roman"/>
        </w:rPr>
        <w:t xml:space="preserve">, </w:t>
      </w:r>
      <w:r w:rsidR="00360E82" w:rsidRPr="00F36B06">
        <w:rPr>
          <w:rFonts w:ascii="Times New Roman" w:hAnsi="Times New Roman" w:cs="Times New Roman"/>
        </w:rPr>
        <w:t>izmantojot</w:t>
      </w:r>
      <w:r w:rsidR="00DA5DA0" w:rsidRPr="00F36B06">
        <w:rPr>
          <w:rFonts w:ascii="Times New Roman" w:hAnsi="Times New Roman" w:cs="Times New Roman"/>
        </w:rPr>
        <w:t xml:space="preserve"> </w:t>
      </w:r>
      <w:r w:rsidR="00360E82" w:rsidRPr="00F36B06">
        <w:rPr>
          <w:rFonts w:ascii="Times New Roman" w:hAnsi="Times New Roman" w:cs="Times New Roman"/>
        </w:rPr>
        <w:t>E</w:t>
      </w:r>
      <w:r w:rsidR="00220A77" w:rsidRPr="00F36B06">
        <w:rPr>
          <w:rFonts w:ascii="Times New Roman" w:hAnsi="Times New Roman" w:cs="Times New Roman"/>
        </w:rPr>
        <w:t>lektronisko</w:t>
      </w:r>
      <w:r w:rsidR="00A06197" w:rsidRPr="00F36B06">
        <w:rPr>
          <w:rFonts w:ascii="Times New Roman" w:hAnsi="Times New Roman" w:cs="Times New Roman"/>
        </w:rPr>
        <w:t xml:space="preserve"> izsoļu vietn</w:t>
      </w:r>
      <w:r w:rsidR="00360E82" w:rsidRPr="00F36B06">
        <w:rPr>
          <w:rFonts w:ascii="Times New Roman" w:hAnsi="Times New Roman" w:cs="Times New Roman"/>
        </w:rPr>
        <w:t>i</w:t>
      </w:r>
      <w:r w:rsidR="00A06197" w:rsidRPr="00F36B06">
        <w:rPr>
          <w:rFonts w:ascii="Times New Roman" w:hAnsi="Times New Roman" w:cs="Times New Roman"/>
        </w:rPr>
        <w:t xml:space="preserve">, vai </w:t>
      </w:r>
      <w:r w:rsidR="00257AED" w:rsidRPr="00F36B06">
        <w:rPr>
          <w:rFonts w:ascii="Times New Roman" w:hAnsi="Times New Roman" w:cs="Times New Roman"/>
        </w:rPr>
        <w:t xml:space="preserve">sludinājumi </w:t>
      </w:r>
      <w:r w:rsidR="00C3200F" w:rsidRPr="00F36B06">
        <w:rPr>
          <w:rFonts w:ascii="Times New Roman" w:hAnsi="Times New Roman" w:cs="Times New Roman"/>
        </w:rPr>
        <w:t xml:space="preserve">par debitoru parādu cesiju tiek publicēti </w:t>
      </w:r>
      <w:r w:rsidR="00DE460D" w:rsidRPr="00F36B06">
        <w:rPr>
          <w:rFonts w:ascii="Times New Roman" w:hAnsi="Times New Roman" w:cs="Times New Roman"/>
        </w:rPr>
        <w:t xml:space="preserve">biedrības </w:t>
      </w:r>
      <w:r w:rsidR="00D6422B" w:rsidRPr="00F36B06">
        <w:rPr>
          <w:rFonts w:ascii="Times New Roman" w:hAnsi="Times New Roman" w:cs="Times New Roman"/>
        </w:rPr>
        <w:t xml:space="preserve">"Latvijas </w:t>
      </w:r>
      <w:r w:rsidR="006E24AD" w:rsidRPr="00F36B06">
        <w:rPr>
          <w:rFonts w:ascii="Times New Roman" w:hAnsi="Times New Roman" w:cs="Times New Roman"/>
        </w:rPr>
        <w:t>M</w:t>
      </w:r>
      <w:r w:rsidR="00D6422B" w:rsidRPr="00F36B06">
        <w:rPr>
          <w:rFonts w:ascii="Times New Roman" w:hAnsi="Times New Roman" w:cs="Times New Roman"/>
        </w:rPr>
        <w:t>aksātnespējas procesa administratoru asociācija" tīmekļa vietnē.</w:t>
      </w:r>
      <w:r w:rsidR="005E472B" w:rsidRPr="00F36B06">
        <w:rPr>
          <w:rFonts w:ascii="Times New Roman" w:hAnsi="Times New Roman" w:cs="Times New Roman"/>
        </w:rPr>
        <w:t xml:space="preserve"> </w:t>
      </w:r>
    </w:p>
    <w:p w14:paraId="4B13054D" w14:textId="038B67C6" w:rsidR="00F77C1C" w:rsidRDefault="00A93C7B" w:rsidP="00A761C5">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Tāpat kā izlīgum</w:t>
      </w:r>
      <w:r w:rsidR="005C19C4" w:rsidRPr="00F36B06">
        <w:rPr>
          <w:rFonts w:ascii="Times New Roman" w:hAnsi="Times New Roman" w:cs="Times New Roman"/>
        </w:rPr>
        <w:t>a gadījumā</w:t>
      </w:r>
      <w:r w:rsidR="003D330D" w:rsidRPr="00F36B06">
        <w:rPr>
          <w:rFonts w:ascii="Times New Roman" w:hAnsi="Times New Roman" w:cs="Times New Roman"/>
        </w:rPr>
        <w:t>, arī cesijas gadījumā</w:t>
      </w:r>
      <w:r w:rsidR="00C961AE" w:rsidRPr="00F36B06">
        <w:rPr>
          <w:rFonts w:ascii="Times New Roman" w:hAnsi="Times New Roman" w:cs="Times New Roman"/>
        </w:rPr>
        <w:t xml:space="preserve"> Maksātnespējas likumā ir noteikts admini</w:t>
      </w:r>
      <w:r w:rsidR="003D50C4" w:rsidRPr="00F36B06">
        <w:rPr>
          <w:rFonts w:ascii="Times New Roman" w:hAnsi="Times New Roman" w:cs="Times New Roman"/>
        </w:rPr>
        <w:t xml:space="preserve">stratora pienākums </w:t>
      </w:r>
      <w:r w:rsidR="005C19C4" w:rsidRPr="00F36B06">
        <w:rPr>
          <w:rFonts w:ascii="Times New Roman" w:hAnsi="Times New Roman" w:cs="Times New Roman"/>
        </w:rPr>
        <w:t xml:space="preserve">paziņot kreditoriem par </w:t>
      </w:r>
      <w:r w:rsidR="003D330D" w:rsidRPr="00F36B06">
        <w:rPr>
          <w:rFonts w:ascii="Times New Roman" w:hAnsi="Times New Roman" w:cs="Times New Roman"/>
        </w:rPr>
        <w:t>savu nodomu no</w:t>
      </w:r>
      <w:r w:rsidR="00EF0953" w:rsidRPr="00F36B06">
        <w:rPr>
          <w:rFonts w:ascii="Times New Roman" w:hAnsi="Times New Roman" w:cs="Times New Roman"/>
        </w:rPr>
        <w:t xml:space="preserve">dot debitora parādu </w:t>
      </w:r>
      <w:r w:rsidR="008B0775" w:rsidRPr="00F36B06">
        <w:rPr>
          <w:rFonts w:ascii="Times New Roman" w:hAnsi="Times New Roman" w:cs="Times New Roman"/>
        </w:rPr>
        <w:t>citam kreditoram</w:t>
      </w:r>
      <w:r w:rsidR="0002108D" w:rsidRPr="00F36B06">
        <w:rPr>
          <w:rFonts w:ascii="Times New Roman" w:hAnsi="Times New Roman" w:cs="Times New Roman"/>
        </w:rPr>
        <w:t xml:space="preserve">. </w:t>
      </w:r>
      <w:r w:rsidR="00246246" w:rsidRPr="00F36B06">
        <w:rPr>
          <w:rFonts w:ascii="Times New Roman" w:hAnsi="Times New Roman" w:cs="Times New Roman"/>
        </w:rPr>
        <w:t xml:space="preserve">Lai informētu kreditorus, administrators </w:t>
      </w:r>
      <w:r w:rsidR="001177CC" w:rsidRPr="00F36B06">
        <w:rPr>
          <w:rFonts w:ascii="Times New Roman" w:hAnsi="Times New Roman" w:cs="Times New Roman"/>
        </w:rPr>
        <w:t>iekļauj informāciju par cesij</w:t>
      </w:r>
      <w:r w:rsidR="00E94A85" w:rsidRPr="00F36B06">
        <w:rPr>
          <w:rFonts w:ascii="Times New Roman" w:hAnsi="Times New Roman" w:cs="Times New Roman"/>
        </w:rPr>
        <w:t>u MPP</w:t>
      </w:r>
      <w:r w:rsidR="004856D2" w:rsidRPr="00F36B06">
        <w:rPr>
          <w:rFonts w:ascii="Times New Roman" w:hAnsi="Times New Roman" w:cs="Times New Roman"/>
        </w:rPr>
        <w:t xml:space="preserve"> vai ZPMN</w:t>
      </w:r>
      <w:r w:rsidR="001C431D" w:rsidRPr="00F36B06">
        <w:rPr>
          <w:rStyle w:val="FootnoteReference"/>
          <w:rFonts w:ascii="Times New Roman" w:hAnsi="Times New Roman" w:cs="Times New Roman"/>
        </w:rPr>
        <w:footnoteReference w:id="30"/>
      </w:r>
      <w:r w:rsidR="00E94A85" w:rsidRPr="00F36B06">
        <w:rPr>
          <w:rFonts w:ascii="Times New Roman" w:hAnsi="Times New Roman" w:cs="Times New Roman"/>
        </w:rPr>
        <w:t xml:space="preserve">, bet, ja lēmums </w:t>
      </w:r>
      <w:r w:rsidR="00097DE6" w:rsidRPr="00F36B06">
        <w:rPr>
          <w:rFonts w:ascii="Times New Roman" w:hAnsi="Times New Roman" w:cs="Times New Roman"/>
        </w:rPr>
        <w:t>tiek</w:t>
      </w:r>
      <w:r w:rsidR="00E94A85" w:rsidRPr="00F36B06">
        <w:rPr>
          <w:rFonts w:ascii="Times New Roman" w:hAnsi="Times New Roman" w:cs="Times New Roman"/>
        </w:rPr>
        <w:t xml:space="preserve"> pieņemt</w:t>
      </w:r>
      <w:r w:rsidR="00097DE6" w:rsidRPr="00F36B06">
        <w:rPr>
          <w:rFonts w:ascii="Times New Roman" w:hAnsi="Times New Roman" w:cs="Times New Roman"/>
        </w:rPr>
        <w:t>s</w:t>
      </w:r>
      <w:r w:rsidR="00E94A85" w:rsidRPr="00F36B06">
        <w:rPr>
          <w:rFonts w:ascii="Times New Roman" w:hAnsi="Times New Roman" w:cs="Times New Roman"/>
        </w:rPr>
        <w:t xml:space="preserve"> pēc </w:t>
      </w:r>
      <w:r w:rsidR="009E6378" w:rsidRPr="00F36B06">
        <w:rPr>
          <w:rFonts w:ascii="Times New Roman" w:hAnsi="Times New Roman" w:cs="Times New Roman"/>
        </w:rPr>
        <w:t>MPP</w:t>
      </w:r>
      <w:r w:rsidR="00E94A85" w:rsidRPr="00F36B06">
        <w:rPr>
          <w:rFonts w:ascii="Times New Roman" w:hAnsi="Times New Roman" w:cs="Times New Roman"/>
        </w:rPr>
        <w:t xml:space="preserve"> sastādīšanas</w:t>
      </w:r>
      <w:r w:rsidR="00A8212A" w:rsidRPr="00F36B06">
        <w:rPr>
          <w:rFonts w:ascii="Times New Roman" w:hAnsi="Times New Roman" w:cs="Times New Roman"/>
        </w:rPr>
        <w:t>, paziņo par to kreditoriem atsevi</w:t>
      </w:r>
      <w:r w:rsidR="009D3798" w:rsidRPr="00F36B06">
        <w:rPr>
          <w:rFonts w:ascii="Times New Roman" w:hAnsi="Times New Roman" w:cs="Times New Roman"/>
        </w:rPr>
        <w:t>šķi</w:t>
      </w:r>
      <w:r w:rsidR="006E49B5" w:rsidRPr="00F36B06">
        <w:rPr>
          <w:rStyle w:val="FootnoteReference"/>
          <w:rFonts w:ascii="Times New Roman" w:hAnsi="Times New Roman" w:cs="Times New Roman"/>
        </w:rPr>
        <w:footnoteReference w:id="31"/>
      </w:r>
      <w:r w:rsidR="008B0775" w:rsidRPr="00F36B06">
        <w:rPr>
          <w:rFonts w:ascii="Times New Roman" w:hAnsi="Times New Roman" w:cs="Times New Roman"/>
        </w:rPr>
        <w:t>.</w:t>
      </w:r>
      <w:r w:rsidR="005966B9" w:rsidRPr="00F36B06">
        <w:t xml:space="preserve"> </w:t>
      </w:r>
      <w:r w:rsidR="005D4E87" w:rsidRPr="00F36B06">
        <w:rPr>
          <w:rFonts w:ascii="Times New Roman" w:hAnsi="Times New Roman" w:cs="Times New Roman"/>
        </w:rPr>
        <w:t>A</w:t>
      </w:r>
      <w:r w:rsidR="00A40E28" w:rsidRPr="00F36B06">
        <w:rPr>
          <w:rFonts w:ascii="Times New Roman" w:hAnsi="Times New Roman" w:cs="Times New Roman"/>
        </w:rPr>
        <w:t xml:space="preserve">dministratoram </w:t>
      </w:r>
      <w:r w:rsidR="005966B9" w:rsidRPr="00F36B06">
        <w:rPr>
          <w:rFonts w:ascii="Times New Roman" w:hAnsi="Times New Roman" w:cs="Times New Roman"/>
        </w:rPr>
        <w:t>jānodrošina kreditoriem iespēja izteikt iebildumus gan par pašu nodomu veikt prasījuma tiesību cesiju un administratora pamatojumu tam, gan par būtiskiem cesijas noteikumiem, piemēram, piedāvāto pirkuma maksu. Respektīvi, administrators ir tiesīgs cedēt prasījumu vienīgi, ja kreditori, būdami informēti par šādi priekšlikumu, 15</w:t>
      </w:r>
      <w:r w:rsidR="0007458D" w:rsidRPr="00F36B06">
        <w:rPr>
          <w:rFonts w:ascii="Times New Roman" w:hAnsi="Times New Roman" w:cs="Times New Roman"/>
        </w:rPr>
        <w:t> </w:t>
      </w:r>
      <w:r w:rsidR="005966B9" w:rsidRPr="00F36B06">
        <w:rPr>
          <w:rFonts w:ascii="Times New Roman" w:hAnsi="Times New Roman" w:cs="Times New Roman"/>
        </w:rPr>
        <w:t>dienu laikā neizteic iebildumus</w:t>
      </w:r>
      <w:r w:rsidR="004E2B93" w:rsidRPr="00F36B06">
        <w:rPr>
          <w:rFonts w:ascii="Times New Roman" w:hAnsi="Times New Roman" w:cs="Times New Roman"/>
        </w:rPr>
        <w:t xml:space="preserve"> vai šādi iebildumi ir nepamatoti</w:t>
      </w:r>
      <w:r w:rsidR="00315D0F" w:rsidRPr="00F36B06">
        <w:rPr>
          <w:rFonts w:ascii="Times New Roman" w:hAnsi="Times New Roman" w:cs="Times New Roman"/>
        </w:rPr>
        <w:t>, gadījumā, ja par cesiju ir paziņots MPP vai ZPMN</w:t>
      </w:r>
      <w:r w:rsidR="00A81B9E" w:rsidRPr="00F36B06">
        <w:rPr>
          <w:rFonts w:ascii="Times New Roman" w:hAnsi="Times New Roman" w:cs="Times New Roman"/>
        </w:rPr>
        <w:t>, un piecu dienu laikā, ja par cesiju ir paziņots Maksātnespējas likuma 81. panta kārtībā.</w:t>
      </w:r>
    </w:p>
    <w:p w14:paraId="1AD3B080" w14:textId="4F930BD0" w:rsidR="00565CFF" w:rsidRDefault="00565CFF" w:rsidP="00565CFF">
      <w:pPr>
        <w:autoSpaceDE w:val="0"/>
        <w:autoSpaceDN w:val="0"/>
        <w:adjustRightInd w:val="0"/>
        <w:spacing w:after="0" w:line="240" w:lineRule="auto"/>
        <w:ind w:right="-81" w:firstLine="720"/>
        <w:jc w:val="both"/>
        <w:rPr>
          <w:rFonts w:ascii="Times New Roman" w:eastAsia="Times New Roman" w:hAnsi="Times New Roman"/>
        </w:rPr>
      </w:pPr>
      <w:r>
        <w:rPr>
          <w:rFonts w:ascii="Times New Roman" w:eastAsia="Times New Roman" w:hAnsi="Times New Roman"/>
        </w:rPr>
        <w:t>Maksātnespējas likuma 113. panta ceturtā daļa noteic, j</w:t>
      </w:r>
      <w:r w:rsidRPr="00FC0816">
        <w:rPr>
          <w:rFonts w:ascii="Times New Roman" w:eastAsia="Times New Roman" w:hAnsi="Times New Roman"/>
        </w:rPr>
        <w:t>a administrators, izvērtējot saņemtos iebildumus, atzīst tos par pamatotiem, viņš atbilstoši precizē plānu un paziņo par to iesaistītajām pusēm. Ja administrators saņemtos iebildumus neatzīst par pamatotiem, viņš sniedz motivētu atbildi iesniedzējam.</w:t>
      </w:r>
      <w:r>
        <w:rPr>
          <w:rFonts w:ascii="Times New Roman" w:eastAsia="Times New Roman" w:hAnsi="Times New Roman"/>
        </w:rPr>
        <w:t xml:space="preserve"> Nesaņemot kreditoru iebildumus par nodomu cedēt prasījuma tiesības, administrators </w:t>
      </w:r>
      <w:proofErr w:type="spellStart"/>
      <w:r>
        <w:rPr>
          <w:rFonts w:ascii="Times New Roman" w:eastAsia="Times New Roman" w:hAnsi="Times New Roman"/>
        </w:rPr>
        <w:t>pirmšķietami</w:t>
      </w:r>
      <w:proofErr w:type="spellEnd"/>
      <w:r>
        <w:rPr>
          <w:rFonts w:ascii="Times New Roman" w:eastAsia="Times New Roman" w:hAnsi="Times New Roman"/>
        </w:rPr>
        <w:t xml:space="preserve"> var paļauties, ka kreditori ir piekrituši prasījumu cesijai.</w:t>
      </w:r>
      <w:r>
        <w:rPr>
          <w:rStyle w:val="FootnoteReference"/>
          <w:rFonts w:ascii="Times New Roman" w:eastAsia="Times New Roman" w:hAnsi="Times New Roman"/>
        </w:rPr>
        <w:footnoteReference w:id="32"/>
      </w:r>
    </w:p>
    <w:p w14:paraId="4626E0E3" w14:textId="7579FD1C" w:rsidR="00565CFF" w:rsidRDefault="00565CFF" w:rsidP="00565CFF">
      <w:pPr>
        <w:autoSpaceDE w:val="0"/>
        <w:autoSpaceDN w:val="0"/>
        <w:adjustRightInd w:val="0"/>
        <w:spacing w:after="0" w:line="240" w:lineRule="auto"/>
        <w:ind w:right="-81" w:firstLine="630"/>
        <w:jc w:val="both"/>
        <w:rPr>
          <w:rFonts w:ascii="Times New Roman" w:eastAsia="Times New Roman" w:hAnsi="Times New Roman"/>
        </w:rPr>
      </w:pPr>
      <w:r>
        <w:rPr>
          <w:rFonts w:ascii="Times New Roman" w:eastAsia="Times New Roman" w:hAnsi="Times New Roman"/>
        </w:rPr>
        <w:t xml:space="preserve">Gadījumā, ja kreditora ieskatā administrators ir nodarījis zaudējumus, kreditoram ir tiesības celt tiesā prasību </w:t>
      </w:r>
      <w:r w:rsidRPr="001B2ACC">
        <w:rPr>
          <w:rFonts w:ascii="Times New Roman" w:eastAsia="Times New Roman" w:hAnsi="Times New Roman"/>
        </w:rPr>
        <w:t>pret administratoru ne vēlāk kā gada laikā pēc juridiskās personas maksātnespējas procesa izbeigšanas.</w:t>
      </w:r>
      <w:r w:rsidR="00AF7437">
        <w:rPr>
          <w:rStyle w:val="FootnoteReference"/>
          <w:rFonts w:ascii="Times New Roman" w:eastAsia="Times New Roman" w:hAnsi="Times New Roman"/>
        </w:rPr>
        <w:footnoteReference w:id="33"/>
      </w:r>
    </w:p>
    <w:p w14:paraId="78B8A1AC" w14:textId="7E7E370E" w:rsidR="00A761C5" w:rsidRPr="00F36B06" w:rsidRDefault="0026243D" w:rsidP="00DF1E26">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No pētījum</w:t>
      </w:r>
      <w:r w:rsidR="004D5E82" w:rsidRPr="00F36B06">
        <w:rPr>
          <w:rFonts w:ascii="Times New Roman" w:hAnsi="Times New Roman" w:cs="Times New Roman"/>
        </w:rPr>
        <w:t>a</w:t>
      </w:r>
      <w:r w:rsidRPr="00F36B06">
        <w:rPr>
          <w:rFonts w:ascii="Times New Roman" w:hAnsi="Times New Roman" w:cs="Times New Roman"/>
        </w:rPr>
        <w:t xml:space="preserve"> ietvaros apskatītajiem </w:t>
      </w:r>
      <w:r w:rsidR="00860773" w:rsidRPr="00F36B06">
        <w:rPr>
          <w:rFonts w:ascii="Times New Roman" w:hAnsi="Times New Roman" w:cs="Times New Roman"/>
        </w:rPr>
        <w:t>maksātnespējas procesiem, kuru ietvaros tika cedēti debitoru parādi</w:t>
      </w:r>
      <w:r w:rsidR="00B36C56" w:rsidRPr="00F36B06">
        <w:rPr>
          <w:rFonts w:ascii="Times New Roman" w:hAnsi="Times New Roman" w:cs="Times New Roman"/>
        </w:rPr>
        <w:t xml:space="preserve"> (47</w:t>
      </w:r>
      <w:r w:rsidR="00F74108" w:rsidRPr="00F36B06">
        <w:rPr>
          <w:rFonts w:ascii="Times New Roman" w:hAnsi="Times New Roman" w:cs="Times New Roman"/>
        </w:rPr>
        <w:t> </w:t>
      </w:r>
      <w:r w:rsidR="00B36C56" w:rsidRPr="00F36B06">
        <w:rPr>
          <w:rFonts w:ascii="Times New Roman" w:hAnsi="Times New Roman" w:cs="Times New Roman"/>
        </w:rPr>
        <w:t>maksātnespējas procesi)</w:t>
      </w:r>
      <w:r w:rsidR="004D5E82" w:rsidRPr="00F36B06">
        <w:rPr>
          <w:rFonts w:ascii="Times New Roman" w:hAnsi="Times New Roman" w:cs="Times New Roman"/>
        </w:rPr>
        <w:t xml:space="preserve">, Maksātnespējas </w:t>
      </w:r>
      <w:r w:rsidR="00B36C56" w:rsidRPr="00F36B06">
        <w:rPr>
          <w:rFonts w:ascii="Times New Roman" w:hAnsi="Times New Roman" w:cs="Times New Roman"/>
        </w:rPr>
        <w:t>kontroles dienests ir bijis kreditors 10</w:t>
      </w:r>
      <w:r w:rsidR="00F74108" w:rsidRPr="00F36B06">
        <w:rPr>
          <w:rFonts w:ascii="Times New Roman" w:hAnsi="Times New Roman" w:cs="Times New Roman"/>
        </w:rPr>
        <w:t> </w:t>
      </w:r>
      <w:r w:rsidR="008C2927" w:rsidRPr="00F36B06">
        <w:rPr>
          <w:rFonts w:ascii="Times New Roman" w:hAnsi="Times New Roman" w:cs="Times New Roman"/>
        </w:rPr>
        <w:t xml:space="preserve">maksātnespējas procesos. </w:t>
      </w:r>
      <w:r w:rsidR="00C93EC1" w:rsidRPr="00F36B06">
        <w:rPr>
          <w:rFonts w:ascii="Times New Roman" w:hAnsi="Times New Roman" w:cs="Times New Roman"/>
        </w:rPr>
        <w:t xml:space="preserve">Divos gadījumos </w:t>
      </w:r>
      <w:r w:rsidR="0007458D" w:rsidRPr="00F36B06">
        <w:rPr>
          <w:rFonts w:ascii="Times New Roman" w:hAnsi="Times New Roman" w:cs="Times New Roman"/>
        </w:rPr>
        <w:t>Maksātnespējas kontroles dienests</w:t>
      </w:r>
      <w:r w:rsidR="00C93EC1" w:rsidRPr="00F36B06">
        <w:rPr>
          <w:rFonts w:ascii="Times New Roman" w:hAnsi="Times New Roman" w:cs="Times New Roman"/>
        </w:rPr>
        <w:t xml:space="preserve"> </w:t>
      </w:r>
      <w:r w:rsidR="0007458D" w:rsidRPr="00F36B06">
        <w:rPr>
          <w:rFonts w:ascii="Times New Roman" w:hAnsi="Times New Roman" w:cs="Times New Roman"/>
        </w:rPr>
        <w:t>administratoram</w:t>
      </w:r>
      <w:r w:rsidR="0007458D" w:rsidRPr="00F36B06" w:rsidDel="0007458D">
        <w:rPr>
          <w:rFonts w:ascii="Times New Roman" w:hAnsi="Times New Roman" w:cs="Times New Roman"/>
        </w:rPr>
        <w:t xml:space="preserve"> </w:t>
      </w:r>
      <w:r w:rsidR="00C93EC1" w:rsidRPr="00F36B06">
        <w:rPr>
          <w:rFonts w:ascii="Times New Roman" w:hAnsi="Times New Roman" w:cs="Times New Roman"/>
        </w:rPr>
        <w:t>lūdz</w:t>
      </w:r>
      <w:r w:rsidR="0007458D" w:rsidRPr="00F36B06">
        <w:rPr>
          <w:rFonts w:ascii="Times New Roman" w:hAnsi="Times New Roman" w:cs="Times New Roman"/>
        </w:rPr>
        <w:t>a</w:t>
      </w:r>
      <w:r w:rsidR="00C93EC1" w:rsidRPr="00F36B06">
        <w:rPr>
          <w:rFonts w:ascii="Times New Roman" w:hAnsi="Times New Roman" w:cs="Times New Roman"/>
        </w:rPr>
        <w:t xml:space="preserve"> papildu informāciju </w:t>
      </w:r>
      <w:r w:rsidR="0007458D" w:rsidRPr="00F36B06">
        <w:rPr>
          <w:rFonts w:ascii="Times New Roman" w:hAnsi="Times New Roman" w:cs="Times New Roman"/>
        </w:rPr>
        <w:t>par</w:t>
      </w:r>
      <w:r w:rsidR="003B0262" w:rsidRPr="00F36B06">
        <w:rPr>
          <w:rFonts w:ascii="Times New Roman" w:hAnsi="Times New Roman" w:cs="Times New Roman"/>
        </w:rPr>
        <w:t xml:space="preserve"> </w:t>
      </w:r>
      <w:r w:rsidR="00460985" w:rsidRPr="00F36B06">
        <w:rPr>
          <w:rFonts w:ascii="Times New Roman" w:hAnsi="Times New Roman" w:cs="Times New Roman"/>
        </w:rPr>
        <w:t xml:space="preserve">plānoto cesiju, kā arī vēl divos gadījumos cēla iebildumus </w:t>
      </w:r>
      <w:r w:rsidR="005F4BE2" w:rsidRPr="00F36B06">
        <w:rPr>
          <w:rFonts w:ascii="Times New Roman" w:hAnsi="Times New Roman" w:cs="Times New Roman"/>
        </w:rPr>
        <w:t xml:space="preserve">par administratora </w:t>
      </w:r>
      <w:r w:rsidR="00205865" w:rsidRPr="00F36B06">
        <w:rPr>
          <w:rFonts w:ascii="Times New Roman" w:hAnsi="Times New Roman" w:cs="Times New Roman"/>
        </w:rPr>
        <w:t xml:space="preserve">darbībām saistībā ar </w:t>
      </w:r>
      <w:r w:rsidR="003C469F" w:rsidRPr="00F36B06">
        <w:rPr>
          <w:rFonts w:ascii="Times New Roman" w:hAnsi="Times New Roman" w:cs="Times New Roman"/>
        </w:rPr>
        <w:t xml:space="preserve">pārdošanas </w:t>
      </w:r>
      <w:r w:rsidR="005D49D2" w:rsidRPr="00F36B06">
        <w:rPr>
          <w:rFonts w:ascii="Times New Roman" w:hAnsi="Times New Roman" w:cs="Times New Roman"/>
        </w:rPr>
        <w:t>procedūru</w:t>
      </w:r>
      <w:r w:rsidR="003D3858" w:rsidRPr="00F36B06">
        <w:rPr>
          <w:rFonts w:ascii="Times New Roman" w:hAnsi="Times New Roman" w:cs="Times New Roman"/>
        </w:rPr>
        <w:t>, piemēr</w:t>
      </w:r>
      <w:r w:rsidR="0007458D" w:rsidRPr="00F36B06">
        <w:rPr>
          <w:rFonts w:ascii="Times New Roman" w:hAnsi="Times New Roman" w:cs="Times New Roman"/>
        </w:rPr>
        <w:t>a</w:t>
      </w:r>
      <w:r w:rsidR="003D3858" w:rsidRPr="00F36B06">
        <w:rPr>
          <w:rFonts w:ascii="Times New Roman" w:hAnsi="Times New Roman" w:cs="Times New Roman"/>
        </w:rPr>
        <w:t xml:space="preserve">m, pārdošanas sludinājumā norādāmās informācijas </w:t>
      </w:r>
      <w:r w:rsidR="00A55F82" w:rsidRPr="00F36B06">
        <w:rPr>
          <w:rFonts w:ascii="Times New Roman" w:hAnsi="Times New Roman" w:cs="Times New Roman"/>
        </w:rPr>
        <w:t>pilnīgumu un korektumu</w:t>
      </w:r>
      <w:r w:rsidR="00A4222D" w:rsidRPr="00F36B06">
        <w:rPr>
          <w:rFonts w:ascii="Times New Roman" w:hAnsi="Times New Roman" w:cs="Times New Roman"/>
        </w:rPr>
        <w:t>.</w:t>
      </w:r>
      <w:r w:rsidR="00A55F82" w:rsidRPr="00F36B06">
        <w:rPr>
          <w:rFonts w:ascii="Times New Roman" w:hAnsi="Times New Roman" w:cs="Times New Roman"/>
        </w:rPr>
        <w:t xml:space="preserve"> </w:t>
      </w:r>
      <w:r w:rsidR="008D3090" w:rsidRPr="00F36B06">
        <w:rPr>
          <w:rFonts w:ascii="Times New Roman" w:hAnsi="Times New Roman" w:cs="Times New Roman"/>
        </w:rPr>
        <w:t>Līdz ar to j</w:t>
      </w:r>
      <w:r w:rsidR="00B77569" w:rsidRPr="00F36B06">
        <w:rPr>
          <w:rFonts w:ascii="Times New Roman" w:hAnsi="Times New Roman" w:cs="Times New Roman"/>
        </w:rPr>
        <w:t xml:space="preserve">āatzīmē, ka tāpat </w:t>
      </w:r>
      <w:r w:rsidR="0001108E" w:rsidRPr="00F36B06">
        <w:rPr>
          <w:rFonts w:ascii="Times New Roman" w:hAnsi="Times New Roman" w:cs="Times New Roman"/>
        </w:rPr>
        <w:t>kā</w:t>
      </w:r>
      <w:r w:rsidR="00A761C5" w:rsidRPr="00F36B06">
        <w:rPr>
          <w:rFonts w:ascii="Times New Roman" w:hAnsi="Times New Roman" w:cs="Times New Roman"/>
        </w:rPr>
        <w:t xml:space="preserve"> izlīguma noslēgšanas procesā</w:t>
      </w:r>
      <w:r w:rsidR="001A499F" w:rsidRPr="00F36B06">
        <w:rPr>
          <w:rFonts w:ascii="Times New Roman" w:hAnsi="Times New Roman" w:cs="Times New Roman"/>
        </w:rPr>
        <w:t>,</w:t>
      </w:r>
      <w:r w:rsidR="00A761C5" w:rsidRPr="00F36B06">
        <w:rPr>
          <w:rFonts w:ascii="Times New Roman" w:hAnsi="Times New Roman" w:cs="Times New Roman"/>
        </w:rPr>
        <w:t xml:space="preserve"> </w:t>
      </w:r>
      <w:r w:rsidR="0001108E" w:rsidRPr="00F36B06">
        <w:rPr>
          <w:rFonts w:ascii="Times New Roman" w:hAnsi="Times New Roman" w:cs="Times New Roman"/>
        </w:rPr>
        <w:t xml:space="preserve">arī </w:t>
      </w:r>
      <w:r w:rsidR="008D3090" w:rsidRPr="00F36B06">
        <w:rPr>
          <w:rFonts w:ascii="Times New Roman" w:hAnsi="Times New Roman" w:cs="Times New Roman"/>
        </w:rPr>
        <w:t xml:space="preserve">cesijas gadījumā </w:t>
      </w:r>
      <w:r w:rsidR="00A761C5" w:rsidRPr="00F36B06">
        <w:rPr>
          <w:rFonts w:ascii="Times New Roman" w:hAnsi="Times New Roman" w:cs="Times New Roman"/>
        </w:rPr>
        <w:t>ir būtiska kreditoru kontrole.</w:t>
      </w:r>
    </w:p>
    <w:p w14:paraId="2D69DDEB" w14:textId="164E4F95" w:rsidR="00A74345" w:rsidRPr="00F36B06" w:rsidRDefault="0025485A" w:rsidP="00DF1E26">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Datu analīze rāda, ka tikai nelielā daļā maksātnespējas procesu – aptuveni 19</w:t>
      </w:r>
      <w:r w:rsidR="001F76F7">
        <w:rPr>
          <w:rFonts w:ascii="Times New Roman" w:hAnsi="Times New Roman" w:cs="Times New Roman"/>
        </w:rPr>
        <w:t> </w:t>
      </w:r>
      <w:r w:rsidRPr="00F36B06">
        <w:rPr>
          <w:rFonts w:ascii="Times New Roman" w:hAnsi="Times New Roman" w:cs="Times New Roman"/>
        </w:rPr>
        <w:t>% gadījumu</w:t>
      </w:r>
      <w:r w:rsidR="00AC19AE">
        <w:rPr>
          <w:rFonts w:ascii="Times New Roman" w:hAnsi="Times New Roman" w:cs="Times New Roman"/>
        </w:rPr>
        <w:t>,</w:t>
      </w:r>
      <w:r w:rsidRPr="00F36B06">
        <w:rPr>
          <w:rFonts w:ascii="Times New Roman" w:hAnsi="Times New Roman" w:cs="Times New Roman"/>
        </w:rPr>
        <w:t xml:space="preserve"> valdes locekļiem ir bijusi manta, uz kuru iespējams vērst piedziņu, kas būtiski ierobežo iespēju faktiski atgūt zaudējumus.</w:t>
      </w:r>
      <w:r w:rsidR="00A74345" w:rsidRPr="00F36B06">
        <w:rPr>
          <w:rFonts w:ascii="Times New Roman" w:hAnsi="Times New Roman" w:cs="Times New Roman"/>
        </w:rPr>
        <w:t xml:space="preserve"> Šāds fakts regulāri kalpo par pamatojumu, lai atteiktos no tiesvedības vai noslēgtu izlīgumu par ievērojami mazāku summu, nekā spriedumā piespriestā. Tomēr praksē </w:t>
      </w:r>
      <w:r w:rsidR="00E24C83" w:rsidRPr="00F36B06">
        <w:rPr>
          <w:rFonts w:ascii="Times New Roman" w:hAnsi="Times New Roman" w:cs="Times New Roman"/>
        </w:rPr>
        <w:t>ir novērojami gadījumi</w:t>
      </w:r>
      <w:r w:rsidR="00A74345" w:rsidRPr="00F36B06">
        <w:rPr>
          <w:rFonts w:ascii="Times New Roman" w:hAnsi="Times New Roman" w:cs="Times New Roman"/>
        </w:rPr>
        <w:t>, k</w:t>
      </w:r>
      <w:r w:rsidR="00AE6712" w:rsidRPr="00F36B06">
        <w:rPr>
          <w:rFonts w:ascii="Times New Roman" w:hAnsi="Times New Roman" w:cs="Times New Roman"/>
        </w:rPr>
        <w:t>ad</w:t>
      </w:r>
      <w:r w:rsidR="00A74345" w:rsidRPr="00F36B06">
        <w:rPr>
          <w:rFonts w:ascii="Times New Roman" w:hAnsi="Times New Roman" w:cs="Times New Roman"/>
        </w:rPr>
        <w:t xml:space="preserve"> valdes locekļi</w:t>
      </w:r>
      <w:r w:rsidR="00AE6712" w:rsidRPr="00F36B06">
        <w:rPr>
          <w:rFonts w:ascii="Times New Roman" w:hAnsi="Times New Roman" w:cs="Times New Roman"/>
        </w:rPr>
        <w:t xml:space="preserve">em, kuriem formāli nav mantas, uz ko vērst piedziņu, </w:t>
      </w:r>
      <w:r w:rsidR="00A74345" w:rsidRPr="00F36B06">
        <w:rPr>
          <w:rFonts w:ascii="Times New Roman" w:hAnsi="Times New Roman" w:cs="Times New Roman"/>
        </w:rPr>
        <w:lastRenderedPageBreak/>
        <w:t xml:space="preserve">spēj piedāvāt naudu izlīguma noslēgšanai vai arī </w:t>
      </w:r>
      <w:r w:rsidR="00B36F7D" w:rsidRPr="00F36B06">
        <w:rPr>
          <w:rFonts w:ascii="Times New Roman" w:hAnsi="Times New Roman" w:cs="Times New Roman"/>
        </w:rPr>
        <w:t>prasījuma tiesības</w:t>
      </w:r>
      <w:r w:rsidR="00A74345" w:rsidRPr="00F36B06">
        <w:rPr>
          <w:rFonts w:ascii="Times New Roman" w:hAnsi="Times New Roman" w:cs="Times New Roman"/>
        </w:rPr>
        <w:t xml:space="preserve"> tiek </w:t>
      </w:r>
      <w:r w:rsidR="00B36F7D" w:rsidRPr="00F36B06">
        <w:rPr>
          <w:rFonts w:ascii="Times New Roman" w:hAnsi="Times New Roman" w:cs="Times New Roman"/>
        </w:rPr>
        <w:t>cedētas</w:t>
      </w:r>
      <w:r w:rsidR="00A74345" w:rsidRPr="00F36B06">
        <w:rPr>
          <w:rFonts w:ascii="Times New Roman" w:hAnsi="Times New Roman" w:cs="Times New Roman"/>
        </w:rPr>
        <w:t xml:space="preserve"> personām, kuras ir tieši vai pastarpināti saistītas ar atbildētājiem</w:t>
      </w:r>
      <w:r w:rsidR="00563DB2" w:rsidRPr="00F36B06">
        <w:rPr>
          <w:rFonts w:ascii="Times New Roman" w:hAnsi="Times New Roman" w:cs="Times New Roman"/>
        </w:rPr>
        <w:t xml:space="preserve"> – valdes locekļiem, no kuriem piespriesti zaudējumi</w:t>
      </w:r>
      <w:r w:rsidR="00A74345" w:rsidRPr="00F36B06">
        <w:rPr>
          <w:rFonts w:ascii="Times New Roman" w:hAnsi="Times New Roman" w:cs="Times New Roman"/>
        </w:rPr>
        <w:t>.</w:t>
      </w:r>
    </w:p>
    <w:p w14:paraId="4E050DA2" w14:textId="2C1A3A1E" w:rsidR="0025485A" w:rsidRPr="00F36B06" w:rsidRDefault="00563DB2" w:rsidP="00DF1E26">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Minētais</w:t>
      </w:r>
      <w:r w:rsidR="00A74345" w:rsidRPr="00F36B06">
        <w:rPr>
          <w:rFonts w:ascii="Times New Roman" w:hAnsi="Times New Roman" w:cs="Times New Roman"/>
        </w:rPr>
        <w:t xml:space="preserve"> rada pamatotas aizdomas, ka</w:t>
      </w:r>
      <w:r w:rsidR="00B576B3" w:rsidRPr="00F36B06">
        <w:rPr>
          <w:rFonts w:ascii="Times New Roman" w:hAnsi="Times New Roman" w:cs="Times New Roman"/>
        </w:rPr>
        <w:t xml:space="preserve"> </w:t>
      </w:r>
      <w:r w:rsidR="002E11E7" w:rsidRPr="00F36B06">
        <w:rPr>
          <w:rFonts w:ascii="Times New Roman" w:hAnsi="Times New Roman" w:cs="Times New Roman"/>
        </w:rPr>
        <w:t>valdes locekļu</w:t>
      </w:r>
      <w:r w:rsidR="00A74345" w:rsidRPr="00F36B06">
        <w:rPr>
          <w:rFonts w:ascii="Times New Roman" w:hAnsi="Times New Roman" w:cs="Times New Roman"/>
        </w:rPr>
        <w:t xml:space="preserve"> faktiskā maksātspēja tiek slēpta, un</w:t>
      </w:r>
      <w:r w:rsidR="00381A5F" w:rsidRPr="00F36B06">
        <w:rPr>
          <w:rFonts w:ascii="Times New Roman" w:hAnsi="Times New Roman" w:cs="Times New Roman"/>
        </w:rPr>
        <w:t xml:space="preserve">, lai arī </w:t>
      </w:r>
      <w:proofErr w:type="spellStart"/>
      <w:r w:rsidR="005A3561" w:rsidRPr="00F36B06">
        <w:rPr>
          <w:rFonts w:ascii="Times New Roman" w:hAnsi="Times New Roman" w:cs="Times New Roman"/>
          <w:i/>
          <w:iCs/>
        </w:rPr>
        <w:t>de</w:t>
      </w:r>
      <w:proofErr w:type="spellEnd"/>
      <w:r w:rsidR="005A3561" w:rsidRPr="00F36B06">
        <w:rPr>
          <w:rFonts w:ascii="Times New Roman" w:hAnsi="Times New Roman" w:cs="Times New Roman"/>
          <w:i/>
          <w:iCs/>
        </w:rPr>
        <w:t xml:space="preserve"> </w:t>
      </w:r>
      <w:proofErr w:type="spellStart"/>
      <w:r w:rsidR="005A3561" w:rsidRPr="00F36B06">
        <w:rPr>
          <w:rFonts w:ascii="Times New Roman" w:hAnsi="Times New Roman" w:cs="Times New Roman"/>
          <w:i/>
          <w:iCs/>
        </w:rPr>
        <w:t>facto</w:t>
      </w:r>
      <w:proofErr w:type="spellEnd"/>
      <w:r w:rsidR="005A3561" w:rsidRPr="00F36B06">
        <w:rPr>
          <w:rFonts w:ascii="Times New Roman" w:hAnsi="Times New Roman" w:cs="Times New Roman"/>
        </w:rPr>
        <w:t xml:space="preserve"> </w:t>
      </w:r>
      <w:r w:rsidR="00381A5F" w:rsidRPr="00F36B06">
        <w:rPr>
          <w:rFonts w:ascii="Times New Roman" w:hAnsi="Times New Roman" w:cs="Times New Roman"/>
        </w:rPr>
        <w:t xml:space="preserve">viņi paši kontrolē savu mantu, </w:t>
      </w:r>
      <w:proofErr w:type="spellStart"/>
      <w:r w:rsidR="00381A5F" w:rsidRPr="00F36B06">
        <w:rPr>
          <w:rFonts w:ascii="Times New Roman" w:hAnsi="Times New Roman" w:cs="Times New Roman"/>
          <w:i/>
          <w:iCs/>
        </w:rPr>
        <w:t>de</w:t>
      </w:r>
      <w:proofErr w:type="spellEnd"/>
      <w:r w:rsidR="00381A5F" w:rsidRPr="00F36B06">
        <w:rPr>
          <w:rFonts w:ascii="Times New Roman" w:hAnsi="Times New Roman" w:cs="Times New Roman"/>
          <w:i/>
          <w:iCs/>
        </w:rPr>
        <w:t xml:space="preserve"> </w:t>
      </w:r>
      <w:proofErr w:type="spellStart"/>
      <w:r w:rsidR="00381A5F" w:rsidRPr="00F36B06">
        <w:rPr>
          <w:rFonts w:ascii="Times New Roman" w:hAnsi="Times New Roman" w:cs="Times New Roman"/>
          <w:i/>
          <w:iCs/>
        </w:rPr>
        <w:t>jure</w:t>
      </w:r>
      <w:proofErr w:type="spellEnd"/>
      <w:r w:rsidR="00381A5F" w:rsidRPr="00F36B06">
        <w:rPr>
          <w:rFonts w:ascii="Times New Roman" w:hAnsi="Times New Roman" w:cs="Times New Roman"/>
        </w:rPr>
        <w:t xml:space="preserve"> tā ir nod</w:t>
      </w:r>
      <w:r w:rsidR="005A3561" w:rsidRPr="00F36B06">
        <w:rPr>
          <w:rFonts w:ascii="Times New Roman" w:hAnsi="Times New Roman" w:cs="Times New Roman"/>
        </w:rPr>
        <w:t xml:space="preserve">ota </w:t>
      </w:r>
      <w:r w:rsidR="00A74345" w:rsidRPr="00F36B06">
        <w:rPr>
          <w:rFonts w:ascii="Times New Roman" w:hAnsi="Times New Roman" w:cs="Times New Roman"/>
        </w:rPr>
        <w:t>saistītām personām.</w:t>
      </w:r>
    </w:p>
    <w:p w14:paraId="43AD608C" w14:textId="3CAB9AF1" w:rsidR="002E514E" w:rsidRPr="00F36B06" w:rsidRDefault="00A1021F" w:rsidP="00DF1E26">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Ņemot vērā </w:t>
      </w:r>
      <w:r w:rsidR="0025485A" w:rsidRPr="00F36B06">
        <w:rPr>
          <w:rFonts w:ascii="Times New Roman" w:hAnsi="Times New Roman" w:cs="Times New Roman"/>
        </w:rPr>
        <w:t xml:space="preserve">iegūtos </w:t>
      </w:r>
      <w:r w:rsidR="00796CF4" w:rsidRPr="00F36B06">
        <w:rPr>
          <w:rFonts w:ascii="Times New Roman" w:hAnsi="Times New Roman" w:cs="Times New Roman"/>
        </w:rPr>
        <w:t>rezultāt</w:t>
      </w:r>
      <w:r w:rsidR="006F4759" w:rsidRPr="00F36B06">
        <w:rPr>
          <w:rFonts w:ascii="Times New Roman" w:hAnsi="Times New Roman" w:cs="Times New Roman"/>
        </w:rPr>
        <w:t>u</w:t>
      </w:r>
      <w:r w:rsidR="003E6AF0" w:rsidRPr="00F36B06">
        <w:rPr>
          <w:rFonts w:ascii="Times New Roman" w:hAnsi="Times New Roman" w:cs="Times New Roman"/>
        </w:rPr>
        <w:t>s</w:t>
      </w:r>
      <w:r w:rsidR="00271684" w:rsidRPr="00F36B06">
        <w:rPr>
          <w:rFonts w:ascii="Times New Roman" w:hAnsi="Times New Roman" w:cs="Times New Roman"/>
        </w:rPr>
        <w:t>, var secināt</w:t>
      </w:r>
      <w:r w:rsidR="004C661C" w:rsidRPr="00F36B06">
        <w:rPr>
          <w:rFonts w:ascii="Times New Roman" w:hAnsi="Times New Roman" w:cs="Times New Roman"/>
        </w:rPr>
        <w:t>, ka</w:t>
      </w:r>
      <w:r w:rsidR="00271684" w:rsidRPr="00F36B06">
        <w:rPr>
          <w:rFonts w:ascii="Times New Roman" w:hAnsi="Times New Roman" w:cs="Times New Roman"/>
        </w:rPr>
        <w:t xml:space="preserve"> </w:t>
      </w:r>
      <w:r w:rsidR="006C45DC" w:rsidRPr="00F36B06">
        <w:rPr>
          <w:rFonts w:ascii="Times New Roman" w:hAnsi="Times New Roman" w:cs="Times New Roman"/>
        </w:rPr>
        <w:t>pētījumā apskatāmo tiesisko instrumentu</w:t>
      </w:r>
      <w:r w:rsidR="00B03B67" w:rsidRPr="00F36B06">
        <w:rPr>
          <w:rFonts w:ascii="Times New Roman" w:hAnsi="Times New Roman" w:cs="Times New Roman"/>
        </w:rPr>
        <w:t> – </w:t>
      </w:r>
      <w:r w:rsidR="006C45DC" w:rsidRPr="00F36B06">
        <w:rPr>
          <w:rFonts w:ascii="Times New Roman" w:hAnsi="Times New Roman" w:cs="Times New Roman"/>
        </w:rPr>
        <w:t>zaudējumu atlīdzības prasījumu, tos</w:t>
      </w:r>
      <w:r w:rsidR="00A15ABC" w:rsidRPr="00F36B06">
        <w:rPr>
          <w:rFonts w:ascii="Times New Roman" w:hAnsi="Times New Roman" w:cs="Times New Roman"/>
        </w:rPr>
        <w:t>tarp pamatojoties uz Maksātnespējas likuma 72.</w:t>
      </w:r>
      <w:r w:rsidR="00A15ABC" w:rsidRPr="00F36B06">
        <w:rPr>
          <w:rFonts w:ascii="Times New Roman" w:hAnsi="Times New Roman" w:cs="Times New Roman"/>
          <w:vertAlign w:val="superscript"/>
        </w:rPr>
        <w:t>1</w:t>
      </w:r>
      <w:r w:rsidR="00A15ABC" w:rsidRPr="00F36B06">
        <w:rPr>
          <w:rFonts w:ascii="Times New Roman" w:hAnsi="Times New Roman" w:cs="Times New Roman"/>
        </w:rPr>
        <w:t xml:space="preserve"> pantu, kā arī </w:t>
      </w:r>
      <w:r w:rsidR="003625C5" w:rsidRPr="00F36B06">
        <w:rPr>
          <w:rFonts w:ascii="Times New Roman" w:hAnsi="Times New Roman" w:cs="Times New Roman"/>
        </w:rPr>
        <w:t xml:space="preserve">darījumu </w:t>
      </w:r>
      <w:r w:rsidR="00100DF5" w:rsidRPr="00F36B06">
        <w:rPr>
          <w:rFonts w:ascii="Times New Roman" w:hAnsi="Times New Roman" w:cs="Times New Roman"/>
        </w:rPr>
        <w:t xml:space="preserve">apstrīdēšanas prasījumu </w:t>
      </w:r>
      <w:r w:rsidR="00AE78AF" w:rsidRPr="00F36B06">
        <w:rPr>
          <w:rFonts w:ascii="Times New Roman" w:hAnsi="Times New Roman" w:cs="Times New Roman"/>
        </w:rPr>
        <w:t xml:space="preserve">– </w:t>
      </w:r>
      <w:r w:rsidR="00100DF5" w:rsidRPr="00F36B06">
        <w:rPr>
          <w:rFonts w:ascii="Times New Roman" w:hAnsi="Times New Roman" w:cs="Times New Roman"/>
        </w:rPr>
        <w:t>efektivitāte ir ļoti zema</w:t>
      </w:r>
      <w:r w:rsidR="00670A7A" w:rsidRPr="00F36B06">
        <w:rPr>
          <w:rFonts w:ascii="Times New Roman" w:hAnsi="Times New Roman" w:cs="Times New Roman"/>
        </w:rPr>
        <w:t xml:space="preserve"> un nesasniedz </w:t>
      </w:r>
      <w:r w:rsidR="00F112B1" w:rsidRPr="00F36B06">
        <w:rPr>
          <w:rFonts w:ascii="Times New Roman" w:hAnsi="Times New Roman" w:cs="Times New Roman"/>
        </w:rPr>
        <w:t>savus mērķus</w:t>
      </w:r>
      <w:r w:rsidR="00100DF5" w:rsidRPr="00F36B06">
        <w:rPr>
          <w:rFonts w:ascii="Times New Roman" w:hAnsi="Times New Roman" w:cs="Times New Roman"/>
        </w:rPr>
        <w:t xml:space="preserve">. Šāds secinājums ir būtisks ne tikai </w:t>
      </w:r>
      <w:r w:rsidR="001458A3" w:rsidRPr="00F36B06">
        <w:rPr>
          <w:rFonts w:ascii="Times New Roman" w:hAnsi="Times New Roman" w:cs="Times New Roman"/>
        </w:rPr>
        <w:t>katrā konkrētā maksātnespējas procesā atgūto līdzekļu apmēr</w:t>
      </w:r>
      <w:r w:rsidR="00A50DD0" w:rsidRPr="00F36B06">
        <w:rPr>
          <w:rFonts w:ascii="Times New Roman" w:hAnsi="Times New Roman" w:cs="Times New Roman"/>
        </w:rPr>
        <w:t xml:space="preserve">a un līdz ar to arī </w:t>
      </w:r>
      <w:r w:rsidR="002B65DE" w:rsidRPr="00F36B06">
        <w:rPr>
          <w:rFonts w:ascii="Times New Roman" w:hAnsi="Times New Roman" w:cs="Times New Roman"/>
        </w:rPr>
        <w:t xml:space="preserve">apmierināto </w:t>
      </w:r>
      <w:r w:rsidR="00A50DD0" w:rsidRPr="00F36B06">
        <w:rPr>
          <w:rFonts w:ascii="Times New Roman" w:hAnsi="Times New Roman" w:cs="Times New Roman"/>
        </w:rPr>
        <w:t xml:space="preserve">kreditoru </w:t>
      </w:r>
      <w:r w:rsidR="002B65DE" w:rsidRPr="00F36B06">
        <w:rPr>
          <w:rFonts w:ascii="Times New Roman" w:hAnsi="Times New Roman" w:cs="Times New Roman"/>
        </w:rPr>
        <w:t xml:space="preserve">prasījumu kontekstā, bet arī saistībā ar </w:t>
      </w:r>
      <w:r w:rsidR="007B1AD9" w:rsidRPr="00F36B06">
        <w:rPr>
          <w:rFonts w:ascii="Times New Roman" w:hAnsi="Times New Roman" w:cs="Times New Roman"/>
        </w:rPr>
        <w:t xml:space="preserve">minēto tiesisko mehānismu preventīvo nozīmi, atturot </w:t>
      </w:r>
      <w:r w:rsidR="008E15BD" w:rsidRPr="00F36B06">
        <w:rPr>
          <w:rFonts w:ascii="Times New Roman" w:hAnsi="Times New Roman" w:cs="Times New Roman"/>
        </w:rPr>
        <w:t>personas, kas nodarbojas ar saimniecisko darbību, no tādu darbību veikšanas, kuru rezultātā tiek nodarīti zaudējumi kreditoriem.</w:t>
      </w:r>
    </w:p>
    <w:p w14:paraId="33973E9C" w14:textId="43A7DA83" w:rsidR="0005647C" w:rsidRPr="0052095D" w:rsidRDefault="00CC052C" w:rsidP="0052095D">
      <w:pPr>
        <w:pStyle w:val="Heading2"/>
        <w:spacing w:before="0" w:after="240" w:line="240" w:lineRule="auto"/>
        <w:jc w:val="center"/>
        <w:rPr>
          <w:rFonts w:ascii="Times New Roman" w:hAnsi="Times New Roman" w:cs="Times New Roman"/>
          <w:b/>
          <w:bCs/>
          <w:color w:val="auto"/>
          <w:sz w:val="24"/>
          <w:szCs w:val="24"/>
        </w:rPr>
      </w:pPr>
      <w:r w:rsidRPr="0044210D">
        <w:rPr>
          <w:color w:val="auto"/>
        </w:rPr>
        <w:br w:type="page"/>
      </w:r>
    </w:p>
    <w:p w14:paraId="12C5BEC5" w14:textId="1976AAE2" w:rsidR="007902BF" w:rsidRDefault="007902BF" w:rsidP="008E62E3">
      <w:pPr>
        <w:spacing w:after="0" w:line="240" w:lineRule="auto"/>
        <w:ind w:firstLine="720"/>
        <w:jc w:val="both"/>
        <w:rPr>
          <w:rFonts w:ascii="Times New Roman" w:hAnsi="Times New Roman" w:cs="Times New Roman"/>
        </w:rPr>
      </w:pPr>
      <w:r>
        <w:rPr>
          <w:noProof/>
        </w:rPr>
        <w:lastRenderedPageBreak/>
        <mc:AlternateContent>
          <mc:Choice Requires="wps">
            <w:drawing>
              <wp:anchor distT="0" distB="0" distL="114300" distR="114300" simplePos="0" relativeHeight="251670528" behindDoc="0" locked="0" layoutInCell="1" allowOverlap="1" wp14:anchorId="554D402F" wp14:editId="2107478C">
                <wp:simplePos x="0" y="0"/>
                <wp:positionH relativeFrom="page">
                  <wp:posOffset>1102888</wp:posOffset>
                </wp:positionH>
                <wp:positionV relativeFrom="paragraph">
                  <wp:posOffset>40491</wp:posOffset>
                </wp:positionV>
                <wp:extent cx="5902036" cy="308759"/>
                <wp:effectExtent l="0" t="0" r="22860" b="15240"/>
                <wp:wrapNone/>
                <wp:docPr id="1506064282" name="Text Box 8"/>
                <wp:cNvGraphicFramePr/>
                <a:graphic xmlns:a="http://schemas.openxmlformats.org/drawingml/2006/main">
                  <a:graphicData uri="http://schemas.microsoft.com/office/word/2010/wordprocessingShape">
                    <wps:wsp>
                      <wps:cNvSpPr txBox="1"/>
                      <wps:spPr>
                        <a:xfrm>
                          <a:off x="0" y="0"/>
                          <a:ext cx="5902036" cy="308759"/>
                        </a:xfrm>
                        <a:prstGeom prst="rect">
                          <a:avLst/>
                        </a:prstGeom>
                        <a:solidFill>
                          <a:srgbClr val="B3E3FA"/>
                        </a:solidFill>
                        <a:ln w="6350">
                          <a:solidFill>
                            <a:schemeClr val="bg1"/>
                          </a:solidFill>
                        </a:ln>
                      </wps:spPr>
                      <wps:txbx>
                        <w:txbxContent>
                          <w:p w14:paraId="67A69ABB" w14:textId="2A544D30" w:rsidR="007902BF" w:rsidRPr="007E5732" w:rsidRDefault="007902BF" w:rsidP="007902BF">
                            <w:pPr>
                              <w:jc w:val="center"/>
                              <w:rPr>
                                <w:rFonts w:ascii="Times New Roman" w:hAnsi="Times New Roman" w:cs="Times New Roman"/>
                                <w:b/>
                                <w:bCs/>
                                <w:sz w:val="28"/>
                                <w:szCs w:val="28"/>
                              </w:rPr>
                            </w:pPr>
                            <w:r w:rsidRPr="007E5732">
                              <w:rPr>
                                <w:rFonts w:ascii="Times New Roman" w:hAnsi="Times New Roman" w:cs="Times New Roman"/>
                                <w:b/>
                                <w:bCs/>
                                <w:sz w:val="28"/>
                                <w:szCs w:val="28"/>
                              </w:rPr>
                              <w:t>1.</w:t>
                            </w:r>
                            <w:r w:rsidRPr="007E5732">
                              <w:rPr>
                                <w:rFonts w:ascii="Times New Roman" w:hAnsi="Times New Roman" w:cs="Times New Roman"/>
                                <w:sz w:val="28"/>
                                <w:szCs w:val="28"/>
                              </w:rPr>
                              <w:t> </w:t>
                            </w:r>
                            <w:r w:rsidRPr="007E5732">
                              <w:rPr>
                                <w:rFonts w:ascii="Times New Roman" w:hAnsi="Times New Roman" w:cs="Times New Roman"/>
                                <w:b/>
                                <w:bCs/>
                                <w:sz w:val="28"/>
                                <w:szCs w:val="28"/>
                              </w:rPr>
                              <w:t>Zaudējumu piedziņas prasības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402F" id="_x0000_s1031" type="#_x0000_t202" style="position:absolute;left:0;text-align:left;margin-left:86.85pt;margin-top:3.2pt;width:464.75pt;height:2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" fillcolor="#b3e3fa" strokecolor="white [3212]" strokeweight=".5pt">
                <v:textbox>
                  <w:txbxContent>
                    <w:p w14:paraId="67A69ABB" w14:textId="2A544D30" w:rsidR="007902BF" w:rsidRPr="007E5732" w:rsidRDefault="007902BF" w:rsidP="007902BF">
                      <w:pPr>
                        <w:jc w:val="center"/>
                        <w:rPr>
                          <w:rFonts w:ascii="Times New Roman" w:hAnsi="Times New Roman" w:cs="Times New Roman"/>
                          <w:b/>
                          <w:bCs/>
                          <w:sz w:val="28"/>
                          <w:szCs w:val="28"/>
                        </w:rPr>
                      </w:pPr>
                      <w:r w:rsidRPr="007E5732">
                        <w:rPr>
                          <w:rFonts w:ascii="Times New Roman" w:hAnsi="Times New Roman" w:cs="Times New Roman"/>
                          <w:b/>
                          <w:bCs/>
                          <w:sz w:val="28"/>
                          <w:szCs w:val="28"/>
                        </w:rPr>
                        <w:t>1.</w:t>
                      </w:r>
                      <w:r w:rsidRPr="007E5732">
                        <w:rPr>
                          <w:rFonts w:ascii="Times New Roman" w:hAnsi="Times New Roman" w:cs="Times New Roman"/>
                          <w:sz w:val="28"/>
                          <w:szCs w:val="28"/>
                        </w:rPr>
                        <w:t> </w:t>
                      </w:r>
                      <w:r w:rsidRPr="007E5732">
                        <w:rPr>
                          <w:rFonts w:ascii="Times New Roman" w:hAnsi="Times New Roman" w:cs="Times New Roman"/>
                          <w:b/>
                          <w:bCs/>
                          <w:sz w:val="28"/>
                          <w:szCs w:val="28"/>
                        </w:rPr>
                        <w:t>Zaudējumu piedziņas prasības</w:t>
                      </w:r>
                    </w:p>
                  </w:txbxContent>
                </v:textbox>
                <w10:wrap anchorx="page"/>
              </v:shape>
            </w:pict>
          </mc:Fallback>
        </mc:AlternateContent>
      </w:r>
    </w:p>
    <w:p w14:paraId="3C6303A6" w14:textId="3973ECC0" w:rsidR="007902BF" w:rsidRDefault="007902BF" w:rsidP="008E62E3">
      <w:pPr>
        <w:spacing w:after="0" w:line="240" w:lineRule="auto"/>
        <w:ind w:firstLine="720"/>
        <w:jc w:val="both"/>
        <w:rPr>
          <w:rFonts w:ascii="Times New Roman" w:hAnsi="Times New Roman" w:cs="Times New Roman"/>
        </w:rPr>
      </w:pPr>
    </w:p>
    <w:p w14:paraId="5093D2E8" w14:textId="6C7B448A" w:rsidR="007902BF" w:rsidRDefault="007902BF" w:rsidP="008E62E3">
      <w:pPr>
        <w:spacing w:after="0" w:line="240" w:lineRule="auto"/>
        <w:ind w:firstLine="720"/>
        <w:jc w:val="both"/>
        <w:rPr>
          <w:rFonts w:ascii="Times New Roman" w:hAnsi="Times New Roman" w:cs="Times New Roman"/>
        </w:rPr>
      </w:pPr>
    </w:p>
    <w:p w14:paraId="5C90172C" w14:textId="0CCF2841" w:rsidR="00BF023D" w:rsidRPr="00F36B06" w:rsidRDefault="009C6BB4" w:rsidP="008E62E3">
      <w:pPr>
        <w:spacing w:after="0" w:line="240" w:lineRule="auto"/>
        <w:ind w:firstLine="720"/>
        <w:jc w:val="both"/>
        <w:rPr>
          <w:rFonts w:ascii="Times New Roman" w:hAnsi="Times New Roman" w:cs="Times New Roman"/>
        </w:rPr>
      </w:pPr>
      <w:r w:rsidRPr="00F36B06">
        <w:rPr>
          <w:rFonts w:ascii="Times New Roman" w:hAnsi="Times New Roman" w:cs="Times New Roman"/>
        </w:rPr>
        <w:t>Atbilstoši</w:t>
      </w:r>
      <w:r w:rsidR="001661DC" w:rsidRPr="00F36B06">
        <w:rPr>
          <w:rFonts w:ascii="Times New Roman" w:hAnsi="Times New Roman" w:cs="Times New Roman"/>
        </w:rPr>
        <w:t xml:space="preserve"> Civillikuma 1406. pant</w:t>
      </w:r>
      <w:r w:rsidRPr="00F36B06">
        <w:rPr>
          <w:rFonts w:ascii="Times New Roman" w:hAnsi="Times New Roman" w:cs="Times New Roman"/>
        </w:rPr>
        <w:t xml:space="preserve">am </w:t>
      </w:r>
      <w:r w:rsidR="001661DC" w:rsidRPr="00F36B06">
        <w:rPr>
          <w:rFonts w:ascii="Times New Roman" w:hAnsi="Times New Roman" w:cs="Times New Roman"/>
        </w:rPr>
        <w:t>juridiskā persona ir atzīstama par patstāvīg</w:t>
      </w:r>
      <w:r w:rsidR="00C17352" w:rsidRPr="00F36B06">
        <w:rPr>
          <w:rFonts w:ascii="Times New Roman" w:hAnsi="Times New Roman" w:cs="Times New Roman"/>
        </w:rPr>
        <w:t>u</w:t>
      </w:r>
      <w:r w:rsidR="001661DC" w:rsidRPr="00F36B06">
        <w:rPr>
          <w:rFonts w:ascii="Times New Roman" w:hAnsi="Times New Roman" w:cs="Times New Roman"/>
        </w:rPr>
        <w:t xml:space="preserve"> tiesību subjekt</w:t>
      </w:r>
      <w:r w:rsidR="00E84A40" w:rsidRPr="00F36B06">
        <w:rPr>
          <w:rFonts w:ascii="Times New Roman" w:hAnsi="Times New Roman" w:cs="Times New Roman"/>
        </w:rPr>
        <w:t>u</w:t>
      </w:r>
      <w:r w:rsidR="001661DC" w:rsidRPr="00F36B06">
        <w:rPr>
          <w:rFonts w:ascii="Times New Roman" w:hAnsi="Times New Roman" w:cs="Times New Roman"/>
        </w:rPr>
        <w:t xml:space="preserve">, kas var piedalīties tiesiskos darījumos. Tiesību subjektam piemīt divas tiesiski nozīmīgas īpašības: tiesībspēja un rīcībspēja. Tiesībspēja ir spēja būt par tiesību un pienākumu nesēju jeb subjektu, savukārt rīcībspēja ir patstāvīgi iegūt tiesības un uzņemties pienākumus. Ņemot vērā minēto, juridiskā persona var </w:t>
      </w:r>
      <w:r w:rsidR="00BA5B11" w:rsidRPr="00F36B06">
        <w:rPr>
          <w:rFonts w:ascii="Times New Roman" w:hAnsi="Times New Roman" w:cs="Times New Roman"/>
        </w:rPr>
        <w:t xml:space="preserve">patstāvīgi </w:t>
      </w:r>
      <w:r w:rsidR="001661DC" w:rsidRPr="00F36B06">
        <w:rPr>
          <w:rFonts w:ascii="Times New Roman" w:hAnsi="Times New Roman" w:cs="Times New Roman"/>
        </w:rPr>
        <w:t>piedalīties civiltiesiskajā apgrozībā</w:t>
      </w:r>
      <w:r w:rsidR="00CF6A31" w:rsidRPr="00F36B06">
        <w:rPr>
          <w:rFonts w:ascii="Times New Roman" w:hAnsi="Times New Roman" w:cs="Times New Roman"/>
        </w:rPr>
        <w:t>.</w:t>
      </w:r>
      <w:r w:rsidR="0084230E" w:rsidRPr="00F36B06">
        <w:rPr>
          <w:rFonts w:ascii="Times New Roman" w:hAnsi="Times New Roman" w:cs="Times New Roman"/>
        </w:rPr>
        <w:t xml:space="preserve"> Juridiskā persona var būt arī civiltiesiskās atbildības subjekts</w:t>
      </w:r>
      <w:r w:rsidR="00ED43C7" w:rsidRPr="00F36B06">
        <w:rPr>
          <w:rFonts w:ascii="Times New Roman" w:hAnsi="Times New Roman" w:cs="Times New Roman"/>
        </w:rPr>
        <w:t xml:space="preserve">, </w:t>
      </w:r>
      <w:r w:rsidR="00432E72" w:rsidRPr="00F36B06">
        <w:rPr>
          <w:rFonts w:ascii="Times New Roman" w:hAnsi="Times New Roman" w:cs="Times New Roman"/>
        </w:rPr>
        <w:t xml:space="preserve">bet </w:t>
      </w:r>
      <w:r w:rsidR="00714F74" w:rsidRPr="00F36B06">
        <w:rPr>
          <w:rFonts w:ascii="Times New Roman" w:hAnsi="Times New Roman" w:cs="Times New Roman"/>
        </w:rPr>
        <w:t>p</w:t>
      </w:r>
      <w:r w:rsidR="001661DC" w:rsidRPr="00F36B06">
        <w:rPr>
          <w:rFonts w:ascii="Times New Roman" w:hAnsi="Times New Roman" w:cs="Times New Roman"/>
        </w:rPr>
        <w:t xml:space="preserve">ar saistībām, ko </w:t>
      </w:r>
      <w:r w:rsidR="00E84A40" w:rsidRPr="00F36B06">
        <w:rPr>
          <w:rFonts w:ascii="Times New Roman" w:hAnsi="Times New Roman" w:cs="Times New Roman"/>
        </w:rPr>
        <w:t>tā</w:t>
      </w:r>
      <w:r w:rsidR="001661DC" w:rsidRPr="00F36B06">
        <w:rPr>
          <w:rFonts w:ascii="Times New Roman" w:hAnsi="Times New Roman" w:cs="Times New Roman"/>
        </w:rPr>
        <w:t xml:space="preserve"> ir uzņēmusies, piedaloties civiltiesiskajā apgrozībā, </w:t>
      </w:r>
      <w:r w:rsidR="00E84A40" w:rsidRPr="00F36B06">
        <w:rPr>
          <w:rFonts w:ascii="Times New Roman" w:hAnsi="Times New Roman" w:cs="Times New Roman"/>
        </w:rPr>
        <w:t>juridiskā persona</w:t>
      </w:r>
      <w:r w:rsidR="001661DC" w:rsidRPr="00F36B06">
        <w:rPr>
          <w:rFonts w:ascii="Times New Roman" w:hAnsi="Times New Roman" w:cs="Times New Roman"/>
        </w:rPr>
        <w:t xml:space="preserve"> atbild tikai ar savu mantu, kas ir nošķirta no tās dibinātāju mantas.</w:t>
      </w:r>
      <w:r w:rsidR="00A6462B" w:rsidRPr="00F36B06">
        <w:rPr>
          <w:rFonts w:ascii="Times New Roman" w:hAnsi="Times New Roman" w:cs="Times New Roman"/>
        </w:rPr>
        <w:t xml:space="preserve"> </w:t>
      </w:r>
    </w:p>
    <w:p w14:paraId="4C406FA9" w14:textId="5EED244E" w:rsidR="001661DC" w:rsidRPr="00F36B06" w:rsidRDefault="00BF023D" w:rsidP="008E62E3">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Tomēr </w:t>
      </w:r>
      <w:r w:rsidR="001661DC" w:rsidRPr="00F36B06">
        <w:rPr>
          <w:rFonts w:ascii="Times New Roman" w:hAnsi="Times New Roman" w:cs="Times New Roman"/>
        </w:rPr>
        <w:t>rīcībspējas realizēšanai</w:t>
      </w:r>
      <w:r w:rsidR="00D64265" w:rsidRPr="00F36B06">
        <w:rPr>
          <w:rFonts w:ascii="Times New Roman" w:hAnsi="Times New Roman" w:cs="Times New Roman"/>
        </w:rPr>
        <w:t>, juridiskajai personai</w:t>
      </w:r>
      <w:r w:rsidR="001661DC" w:rsidRPr="00F36B06">
        <w:rPr>
          <w:rFonts w:ascii="Times New Roman" w:hAnsi="Times New Roman" w:cs="Times New Roman"/>
        </w:rPr>
        <w:t xml:space="preserve"> ir nepieciešama</w:t>
      </w:r>
      <w:r w:rsidR="004526C0" w:rsidRPr="00F36B06">
        <w:rPr>
          <w:rFonts w:ascii="Times New Roman" w:hAnsi="Times New Roman" w:cs="Times New Roman"/>
        </w:rPr>
        <w:t>s pārvaldes</w:t>
      </w:r>
      <w:r w:rsidR="001661DC" w:rsidRPr="00F36B06">
        <w:rPr>
          <w:rFonts w:ascii="Times New Roman" w:hAnsi="Times New Roman" w:cs="Times New Roman"/>
        </w:rPr>
        <w:t xml:space="preserve"> institūcija</w:t>
      </w:r>
      <w:r w:rsidR="004526C0" w:rsidRPr="00F36B06">
        <w:rPr>
          <w:rFonts w:ascii="Times New Roman" w:hAnsi="Times New Roman" w:cs="Times New Roman"/>
        </w:rPr>
        <w:t>s</w:t>
      </w:r>
      <w:r w:rsidR="001661DC" w:rsidRPr="00F36B06">
        <w:rPr>
          <w:rFonts w:ascii="Times New Roman" w:hAnsi="Times New Roman" w:cs="Times New Roman"/>
        </w:rPr>
        <w:t>, kas juridiskās personas vārdā nodrošin</w:t>
      </w:r>
      <w:r w:rsidR="00570796" w:rsidRPr="00F36B06">
        <w:rPr>
          <w:rFonts w:ascii="Times New Roman" w:hAnsi="Times New Roman" w:cs="Times New Roman"/>
        </w:rPr>
        <w:t>a</w:t>
      </w:r>
      <w:r w:rsidR="001661DC" w:rsidRPr="00F36B06">
        <w:rPr>
          <w:rFonts w:ascii="Times New Roman" w:hAnsi="Times New Roman" w:cs="Times New Roman"/>
        </w:rPr>
        <w:t xml:space="preserve"> nepieciešamo darbību veikšanu</w:t>
      </w:r>
      <w:r w:rsidR="00F76261" w:rsidRPr="00F36B06">
        <w:rPr>
          <w:rFonts w:ascii="Times New Roman" w:hAnsi="Times New Roman" w:cs="Times New Roman"/>
        </w:rPr>
        <w:t xml:space="preserve"> – </w:t>
      </w:r>
      <w:r w:rsidR="00E75B1A" w:rsidRPr="00F36B06">
        <w:rPr>
          <w:rFonts w:ascii="Times New Roman" w:hAnsi="Times New Roman" w:cs="Times New Roman"/>
        </w:rPr>
        <w:t>kapitālsabiedrīb</w:t>
      </w:r>
      <w:r w:rsidR="003251EC" w:rsidRPr="00F36B06">
        <w:rPr>
          <w:rFonts w:ascii="Times New Roman" w:hAnsi="Times New Roman" w:cs="Times New Roman"/>
        </w:rPr>
        <w:t>a</w:t>
      </w:r>
      <w:r w:rsidR="00E75B1A" w:rsidRPr="00F36B06">
        <w:rPr>
          <w:rFonts w:ascii="Times New Roman" w:hAnsi="Times New Roman" w:cs="Times New Roman"/>
        </w:rPr>
        <w:t>s</w:t>
      </w:r>
      <w:r w:rsidR="00D36CD4" w:rsidRPr="00F36B06">
        <w:rPr>
          <w:rStyle w:val="FootnoteReference"/>
          <w:rFonts w:ascii="Times New Roman" w:hAnsi="Times New Roman" w:cs="Times New Roman"/>
        </w:rPr>
        <w:footnoteReference w:id="34"/>
      </w:r>
      <w:r w:rsidR="00E75B1A" w:rsidRPr="00F36B06">
        <w:rPr>
          <w:rFonts w:ascii="Times New Roman" w:hAnsi="Times New Roman" w:cs="Times New Roman"/>
        </w:rPr>
        <w:t xml:space="preserve"> rīcībspēju īsteno tās </w:t>
      </w:r>
      <w:r w:rsidR="000931B9" w:rsidRPr="00F36B06">
        <w:rPr>
          <w:rFonts w:ascii="Times New Roman" w:hAnsi="Times New Roman" w:cs="Times New Roman"/>
        </w:rPr>
        <w:t>institūcijas</w:t>
      </w:r>
      <w:r w:rsidR="00E75B1A" w:rsidRPr="00F36B06">
        <w:rPr>
          <w:rFonts w:ascii="Times New Roman" w:hAnsi="Times New Roman" w:cs="Times New Roman"/>
        </w:rPr>
        <w:t>: dalībnieku sapulce, valde un padome.</w:t>
      </w:r>
    </w:p>
    <w:p w14:paraId="2704D9C2" w14:textId="6B836D54" w:rsidR="001E473A" w:rsidRPr="00F36B06" w:rsidRDefault="00DF061D" w:rsidP="001661DC">
      <w:pPr>
        <w:spacing w:after="0" w:line="240" w:lineRule="auto"/>
        <w:ind w:firstLine="720"/>
        <w:jc w:val="both"/>
        <w:rPr>
          <w:rFonts w:ascii="Times New Roman" w:hAnsi="Times New Roman" w:cs="Times New Roman"/>
        </w:rPr>
      </w:pPr>
      <w:r w:rsidRPr="00F36B06">
        <w:rPr>
          <w:rFonts w:ascii="Times New Roman" w:hAnsi="Times New Roman" w:cs="Times New Roman"/>
        </w:rPr>
        <w:t>N</w:t>
      </w:r>
      <w:r w:rsidR="001661DC" w:rsidRPr="00F36B06">
        <w:rPr>
          <w:rFonts w:ascii="Times New Roman" w:hAnsi="Times New Roman" w:cs="Times New Roman"/>
        </w:rPr>
        <w:t xml:space="preserve">eskatoties uz to, ka juridiskās personas atbildība ir nošķirta no tās dibinātāju atbildības, lai nodrošinātu trešo personu interešu aizsardzību, </w:t>
      </w:r>
      <w:r w:rsidR="00996312" w:rsidRPr="00F36B06">
        <w:rPr>
          <w:rFonts w:ascii="Times New Roman" w:hAnsi="Times New Roman" w:cs="Times New Roman"/>
        </w:rPr>
        <w:t xml:space="preserve">noteiktos </w:t>
      </w:r>
      <w:r w:rsidR="001661DC" w:rsidRPr="00F36B06">
        <w:rPr>
          <w:rFonts w:ascii="Times New Roman" w:hAnsi="Times New Roman" w:cs="Times New Roman"/>
        </w:rPr>
        <w:t>gadījum</w:t>
      </w:r>
      <w:r w:rsidR="005449C7" w:rsidRPr="00F36B06">
        <w:rPr>
          <w:rFonts w:ascii="Times New Roman" w:hAnsi="Times New Roman" w:cs="Times New Roman"/>
        </w:rPr>
        <w:t xml:space="preserve">os </w:t>
      </w:r>
      <w:r w:rsidR="001661DC" w:rsidRPr="00F36B06">
        <w:rPr>
          <w:rFonts w:ascii="Times New Roman" w:hAnsi="Times New Roman" w:cs="Times New Roman"/>
        </w:rPr>
        <w:t>pastāv iespēja atkāpties no nošķirtās atbildības pamatprincipa</w:t>
      </w:r>
      <w:r w:rsidR="00364BE5" w:rsidRPr="00F36B06">
        <w:rPr>
          <w:rFonts w:ascii="Times New Roman" w:hAnsi="Times New Roman" w:cs="Times New Roman"/>
        </w:rPr>
        <w:t xml:space="preserve"> un saukt</w:t>
      </w:r>
      <w:r w:rsidR="001661DC" w:rsidRPr="00F36B06">
        <w:rPr>
          <w:rFonts w:ascii="Times New Roman" w:hAnsi="Times New Roman" w:cs="Times New Roman"/>
        </w:rPr>
        <w:t xml:space="preserve"> juridiskās personas pārstāvi pie administratīvās</w:t>
      </w:r>
      <w:r w:rsidR="00327FA4" w:rsidRPr="00F36B06">
        <w:rPr>
          <w:rFonts w:ascii="Times New Roman" w:hAnsi="Times New Roman" w:cs="Times New Roman"/>
        </w:rPr>
        <w:t xml:space="preserve"> atbildības</w:t>
      </w:r>
      <w:r w:rsidR="00A5401C" w:rsidRPr="00F36B06">
        <w:rPr>
          <w:rFonts w:ascii="Times New Roman" w:hAnsi="Times New Roman" w:cs="Times New Roman"/>
        </w:rPr>
        <w:t xml:space="preserve">, </w:t>
      </w:r>
      <w:r w:rsidR="001661DC" w:rsidRPr="00F36B06">
        <w:rPr>
          <w:rFonts w:ascii="Times New Roman" w:hAnsi="Times New Roman" w:cs="Times New Roman"/>
        </w:rPr>
        <w:t>kriminālatbildības</w:t>
      </w:r>
      <w:r w:rsidR="00A5401C" w:rsidRPr="00F36B06">
        <w:rPr>
          <w:rFonts w:ascii="Times New Roman" w:hAnsi="Times New Roman" w:cs="Times New Roman"/>
        </w:rPr>
        <w:t xml:space="preserve"> un civilās atbildības</w:t>
      </w:r>
      <w:r w:rsidR="001661DC" w:rsidRPr="00F36B06">
        <w:rPr>
          <w:rFonts w:ascii="Times New Roman" w:hAnsi="Times New Roman" w:cs="Times New Roman"/>
        </w:rPr>
        <w:t>.</w:t>
      </w:r>
      <w:r w:rsidR="00CA340B" w:rsidRPr="00F36B06">
        <w:rPr>
          <w:rFonts w:ascii="Times New Roman" w:hAnsi="Times New Roman" w:cs="Times New Roman"/>
        </w:rPr>
        <w:t xml:space="preserve"> </w:t>
      </w:r>
    </w:p>
    <w:p w14:paraId="5561E6BF" w14:textId="25826525" w:rsidR="001E53EF" w:rsidRPr="00F36B06" w:rsidRDefault="00F17ED0"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Maksātnespējas likuma 65. panta 8. punkt</w:t>
      </w:r>
      <w:r w:rsidR="00327FA4" w:rsidRPr="00F36B06">
        <w:rPr>
          <w:rFonts w:ascii="Times New Roman" w:hAnsi="Times New Roman" w:cs="Times New Roman"/>
        </w:rPr>
        <w:t>ā</w:t>
      </w:r>
      <w:r w:rsidRPr="00F36B06">
        <w:rPr>
          <w:rFonts w:ascii="Times New Roman" w:hAnsi="Times New Roman" w:cs="Times New Roman"/>
        </w:rPr>
        <w:t xml:space="preserve"> ir noteikts administratora pienākum</w:t>
      </w:r>
      <w:r w:rsidR="00327FA4" w:rsidRPr="00F36B06">
        <w:rPr>
          <w:rFonts w:ascii="Times New Roman" w:hAnsi="Times New Roman" w:cs="Times New Roman"/>
        </w:rPr>
        <w:t>s</w:t>
      </w:r>
      <w:r w:rsidRPr="00F36B06">
        <w:rPr>
          <w:rFonts w:ascii="Times New Roman" w:hAnsi="Times New Roman" w:cs="Times New Roman"/>
        </w:rPr>
        <w:t xml:space="preserve"> izvērtēt un celt tiesā prasības pret juridiskās personas pārvaldes institūciju locekļiem un kapitālsabiedrības dalībniekiem (akcionāriem) par viņu nodarīto zaudējumu atlīdzību, kā arī pret personālsabiedrības personiski atbildīgajiem biedriem sakarā ar viņu pienākumu ar savu mantu atbildēt par personālsabiedrības saistībām.</w:t>
      </w:r>
      <w:r w:rsidR="00225677" w:rsidRPr="00F36B06">
        <w:rPr>
          <w:rFonts w:ascii="Times New Roman" w:hAnsi="Times New Roman" w:cs="Times New Roman"/>
        </w:rPr>
        <w:t xml:space="preserve"> Ievērojot minēto, </w:t>
      </w:r>
      <w:r w:rsidR="000F1B0B" w:rsidRPr="00F36B06">
        <w:rPr>
          <w:rFonts w:ascii="Times New Roman" w:hAnsi="Times New Roman" w:cs="Times New Roman"/>
        </w:rPr>
        <w:t xml:space="preserve">administrators izvērtē parādnieka pārvaldes institūciju locekļu rīcību </w:t>
      </w:r>
      <w:r w:rsidR="00A7373B" w:rsidRPr="00F36B06">
        <w:rPr>
          <w:rFonts w:ascii="Times New Roman" w:hAnsi="Times New Roman" w:cs="Times New Roman"/>
        </w:rPr>
        <w:t>pirms maksātnespējas procesa uzsākšanas.</w:t>
      </w:r>
    </w:p>
    <w:p w14:paraId="7ACDE0C5" w14:textId="77777777" w:rsidR="0047338C" w:rsidRPr="00F36B06" w:rsidRDefault="002336C0" w:rsidP="002336C0">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Izpētot zaudējumu prasības, kuras celtas maksātnespējas procesu ietvaros, iespējams konstatēt šādus zaudējumu piedziņas prasības pamatus: </w:t>
      </w:r>
    </w:p>
    <w:p w14:paraId="4BCED2D4" w14:textId="77777777" w:rsidR="0047338C" w:rsidRPr="00F36B06" w:rsidRDefault="0047338C" w:rsidP="0047338C">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 </w:t>
      </w:r>
      <w:r w:rsidR="002336C0" w:rsidRPr="00F36B06">
        <w:rPr>
          <w:rFonts w:ascii="Times New Roman" w:hAnsi="Times New Roman" w:cs="Times New Roman"/>
        </w:rPr>
        <w:t xml:space="preserve">zaudējumi, kas radušies no tiesiska darījuma; zaudējumi, kas radušies no </w:t>
      </w:r>
      <w:r w:rsidR="00AB1AF0" w:rsidRPr="00F36B06">
        <w:rPr>
          <w:rFonts w:ascii="Times New Roman" w:hAnsi="Times New Roman" w:cs="Times New Roman"/>
        </w:rPr>
        <w:t>parādnieka</w:t>
      </w:r>
      <w:r w:rsidR="002336C0" w:rsidRPr="00F36B06">
        <w:rPr>
          <w:rFonts w:ascii="Times New Roman" w:hAnsi="Times New Roman" w:cs="Times New Roman"/>
        </w:rPr>
        <w:t xml:space="preserve"> dokumentu nenodošanas</w:t>
      </w:r>
      <w:r w:rsidR="002336C0" w:rsidRPr="00F36B06">
        <w:rPr>
          <w:rStyle w:val="FootnoteReference"/>
          <w:rFonts w:ascii="Times New Roman" w:hAnsi="Times New Roman" w:cs="Times New Roman"/>
        </w:rPr>
        <w:footnoteReference w:id="35"/>
      </w:r>
      <w:r w:rsidR="002336C0" w:rsidRPr="00F36B06">
        <w:rPr>
          <w:rFonts w:ascii="Times New Roman" w:hAnsi="Times New Roman" w:cs="Times New Roman"/>
        </w:rPr>
        <w:t xml:space="preserve">; </w:t>
      </w:r>
    </w:p>
    <w:p w14:paraId="155BF42D" w14:textId="77777777" w:rsidR="0047338C" w:rsidRPr="00F36B06" w:rsidRDefault="0047338C" w:rsidP="0047338C">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 </w:t>
      </w:r>
      <w:r w:rsidR="002336C0" w:rsidRPr="00F36B06">
        <w:rPr>
          <w:rFonts w:ascii="Times New Roman" w:hAnsi="Times New Roman" w:cs="Times New Roman"/>
        </w:rPr>
        <w:t xml:space="preserve">zaudējumi, kas radušies no parādnieka mantas nenodošanas vai no tās norakstīšanas; </w:t>
      </w:r>
    </w:p>
    <w:p w14:paraId="4EBB1AEA" w14:textId="77777777" w:rsidR="00C92330" w:rsidRPr="00F36B06" w:rsidRDefault="0047338C" w:rsidP="0047338C">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 </w:t>
      </w:r>
      <w:r w:rsidR="002336C0" w:rsidRPr="00F36B06">
        <w:rPr>
          <w:rFonts w:ascii="Times New Roman" w:hAnsi="Times New Roman" w:cs="Times New Roman"/>
        </w:rPr>
        <w:t>zaudējumi, kas radušies no maksātnespējas procesa pieteikuma savlaicīgas neiesniegšanas;</w:t>
      </w:r>
      <w:r w:rsidR="00314951" w:rsidRPr="00F36B06">
        <w:rPr>
          <w:rFonts w:ascii="Times New Roman" w:hAnsi="Times New Roman" w:cs="Times New Roman"/>
        </w:rPr>
        <w:t xml:space="preserve"> </w:t>
      </w:r>
      <w:r w:rsidR="001E66B5" w:rsidRPr="00F36B06">
        <w:rPr>
          <w:rFonts w:ascii="Times New Roman" w:hAnsi="Times New Roman" w:cs="Times New Roman"/>
        </w:rPr>
        <w:t xml:space="preserve">zaudējumi, kas radušies no neapmaksātā pamatkapitāla, </w:t>
      </w:r>
    </w:p>
    <w:p w14:paraId="09EB2853" w14:textId="71598347" w:rsidR="002336C0" w:rsidRPr="00F36B06" w:rsidRDefault="00C92330" w:rsidP="0047338C">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 </w:t>
      </w:r>
      <w:r w:rsidR="002336C0" w:rsidRPr="00F36B06">
        <w:rPr>
          <w:rFonts w:ascii="Times New Roman" w:hAnsi="Times New Roman" w:cs="Times New Roman"/>
        </w:rPr>
        <w:t>zaudējumi, kas radušies administratora, kreditora vai trešās personas rīcības dēļ.</w:t>
      </w:r>
    </w:p>
    <w:p w14:paraId="576D34EB" w14:textId="77777777" w:rsidR="00685966" w:rsidRPr="00F36B06" w:rsidRDefault="00AB1AF0" w:rsidP="009836E0">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Visi minētie prasījumi, izņemot </w:t>
      </w:r>
      <w:r w:rsidR="00880A7F" w:rsidRPr="00F36B06">
        <w:rPr>
          <w:rFonts w:ascii="Times New Roman" w:hAnsi="Times New Roman" w:cs="Times New Roman"/>
        </w:rPr>
        <w:t xml:space="preserve">tos, </w:t>
      </w:r>
      <w:r w:rsidRPr="00F36B06">
        <w:rPr>
          <w:rFonts w:ascii="Times New Roman" w:hAnsi="Times New Roman" w:cs="Times New Roman"/>
        </w:rPr>
        <w:t>kas radušies no parādnieka dokumentu nenodošanas</w:t>
      </w:r>
      <w:r w:rsidR="00A00519" w:rsidRPr="00F36B06">
        <w:rPr>
          <w:rFonts w:ascii="Times New Roman" w:hAnsi="Times New Roman" w:cs="Times New Roman"/>
        </w:rPr>
        <w:t>, ti</w:t>
      </w:r>
      <w:r w:rsidR="003A4A88" w:rsidRPr="00F36B06">
        <w:rPr>
          <w:rFonts w:ascii="Times New Roman" w:hAnsi="Times New Roman" w:cs="Times New Roman"/>
        </w:rPr>
        <w:t>ka</w:t>
      </w:r>
      <w:r w:rsidR="00A00519" w:rsidRPr="00F36B06">
        <w:rPr>
          <w:rFonts w:ascii="Times New Roman" w:hAnsi="Times New Roman" w:cs="Times New Roman"/>
        </w:rPr>
        <w:t xml:space="preserve"> celt</w:t>
      </w:r>
      <w:r w:rsidR="003A4A88" w:rsidRPr="00F36B06">
        <w:rPr>
          <w:rFonts w:ascii="Times New Roman" w:hAnsi="Times New Roman" w:cs="Times New Roman"/>
        </w:rPr>
        <w:t>as</w:t>
      </w:r>
      <w:r w:rsidR="00A00519" w:rsidRPr="00F36B06">
        <w:rPr>
          <w:rFonts w:ascii="Times New Roman" w:hAnsi="Times New Roman" w:cs="Times New Roman"/>
        </w:rPr>
        <w:t xml:space="preserve"> uz vispārējiem civiltiesiskajiem pamatiem</w:t>
      </w:r>
      <w:r w:rsidR="00F5162E" w:rsidRPr="00F36B06">
        <w:rPr>
          <w:rFonts w:ascii="Times New Roman" w:hAnsi="Times New Roman" w:cs="Times New Roman"/>
        </w:rPr>
        <w:t>.</w:t>
      </w:r>
      <w:r w:rsidR="00A00519" w:rsidRPr="00F36B06">
        <w:rPr>
          <w:rFonts w:ascii="Times New Roman" w:hAnsi="Times New Roman" w:cs="Times New Roman"/>
        </w:rPr>
        <w:t xml:space="preserve"> </w:t>
      </w:r>
    </w:p>
    <w:p w14:paraId="771F0142" w14:textId="77777777" w:rsidR="00B755DF" w:rsidRPr="00F36B06" w:rsidRDefault="00AB1AF0" w:rsidP="00E4055E">
      <w:pPr>
        <w:spacing w:after="0" w:line="240" w:lineRule="auto"/>
        <w:ind w:firstLine="720"/>
        <w:jc w:val="both"/>
        <w:rPr>
          <w:rFonts w:ascii="Times New Roman" w:hAnsi="Times New Roman" w:cs="Times New Roman"/>
        </w:rPr>
      </w:pPr>
      <w:r w:rsidRPr="00F36B06">
        <w:rPr>
          <w:rFonts w:ascii="Times New Roman" w:hAnsi="Times New Roman" w:cs="Times New Roman"/>
        </w:rPr>
        <w:t>Saskaņā ar Civillikuma 1779. pantu katram ir pienākums atlīdzināt zaudējumus, ko viņš ar savu darbību vai bezdarbību nodarījis. Ar zaudējumu jāsaprot katrs mantiski novērtējams pametums</w:t>
      </w:r>
      <w:r w:rsidRPr="00F36B06">
        <w:rPr>
          <w:rStyle w:val="FootnoteReference"/>
          <w:rFonts w:ascii="Times New Roman" w:hAnsi="Times New Roman" w:cs="Times New Roman"/>
        </w:rPr>
        <w:footnoteReference w:id="36"/>
      </w:r>
      <w:r w:rsidRPr="00F36B06">
        <w:rPr>
          <w:rFonts w:ascii="Times New Roman" w:hAnsi="Times New Roman" w:cs="Times New Roman"/>
        </w:rPr>
        <w:t>, proti, jebkāds mantas samazinājums, zudums vai bojājums, kā arī peļņas atrāvums, papildu izdevumi un citas mantiski novērtējamas tiesību aizskāruma sekas.</w:t>
      </w:r>
      <w:r w:rsidRPr="00F36B06">
        <w:rPr>
          <w:rStyle w:val="FootnoteReference"/>
          <w:rFonts w:ascii="Times New Roman" w:hAnsi="Times New Roman" w:cs="Times New Roman"/>
        </w:rPr>
        <w:footnoteReference w:id="37"/>
      </w:r>
      <w:r w:rsidR="009836E0" w:rsidRPr="00F36B06">
        <w:rPr>
          <w:rFonts w:ascii="Times New Roman" w:hAnsi="Times New Roman" w:cs="Times New Roman"/>
        </w:rPr>
        <w:t xml:space="preserve"> </w:t>
      </w:r>
    </w:p>
    <w:p w14:paraId="393D31FE" w14:textId="1393FF1B" w:rsidR="009836E0" w:rsidRPr="00F36B06" w:rsidRDefault="00EE4920" w:rsidP="009836E0">
      <w:pPr>
        <w:spacing w:after="0" w:line="240" w:lineRule="auto"/>
        <w:ind w:firstLine="720"/>
        <w:jc w:val="both"/>
        <w:rPr>
          <w:rFonts w:ascii="Times New Roman" w:hAnsi="Times New Roman" w:cs="Times New Roman"/>
        </w:rPr>
      </w:pPr>
      <w:r w:rsidRPr="00F36B06">
        <w:rPr>
          <w:rFonts w:ascii="Times New Roman" w:hAnsi="Times New Roman" w:cs="Times New Roman"/>
        </w:rPr>
        <w:t>Jāatzīst, ka tiesu praksē zaudējumu piedziņas lietas ir samēr</w:t>
      </w:r>
      <w:r w:rsidR="009C1D85" w:rsidRPr="00F36B06">
        <w:rPr>
          <w:rFonts w:ascii="Times New Roman" w:hAnsi="Times New Roman" w:cs="Times New Roman"/>
        </w:rPr>
        <w:t>ā</w:t>
      </w:r>
      <w:r w:rsidRPr="00F36B06">
        <w:rPr>
          <w:rFonts w:ascii="Times New Roman" w:hAnsi="Times New Roman" w:cs="Times New Roman"/>
        </w:rPr>
        <w:t xml:space="preserve"> retas, kas ir skaidrojams ar praktiskās dabas grūtībām zaudējumu esamības un apmēra, kā arī cēloniskā sakara ar pārkāpumu pierādīšanā.</w:t>
      </w:r>
      <w:r w:rsidRPr="00F36B06">
        <w:rPr>
          <w:rFonts w:ascii="Times New Roman" w:hAnsi="Times New Roman" w:cs="Times New Roman"/>
          <w:vertAlign w:val="superscript"/>
        </w:rPr>
        <w:footnoteReference w:id="38"/>
      </w:r>
      <w:r w:rsidRPr="00F36B06">
        <w:rPr>
          <w:rFonts w:ascii="Times New Roman" w:hAnsi="Times New Roman" w:cs="Times New Roman"/>
        </w:rPr>
        <w:t xml:space="preserve"> Civiltiesiskajās attiecībā</w:t>
      </w:r>
      <w:r w:rsidR="004F34BA" w:rsidRPr="00F36B06">
        <w:rPr>
          <w:rFonts w:ascii="Times New Roman" w:hAnsi="Times New Roman" w:cs="Times New Roman"/>
        </w:rPr>
        <w:t>s</w:t>
      </w:r>
      <w:r w:rsidRPr="00F36B06">
        <w:rPr>
          <w:rFonts w:ascii="Times New Roman" w:hAnsi="Times New Roman" w:cs="Times New Roman"/>
        </w:rPr>
        <w:t xml:space="preserve"> vaina ir ļoti grūti pierādama, līdz ar to pastāv vainas prezumpcija. Saskaņā ar Komerclikuma 169.</w:t>
      </w:r>
      <w:r w:rsidR="00412647" w:rsidRPr="00F36B06">
        <w:rPr>
          <w:rFonts w:ascii="Times New Roman" w:hAnsi="Times New Roman" w:cs="Times New Roman"/>
        </w:rPr>
        <w:t> </w:t>
      </w:r>
      <w:r w:rsidRPr="00F36B06">
        <w:rPr>
          <w:rFonts w:ascii="Times New Roman" w:hAnsi="Times New Roman" w:cs="Times New Roman"/>
        </w:rPr>
        <w:t>panta pirmo daļu valdes loceklim savi pienākumi jāpilda kā krietnam un rūpīgam saimniekam.</w:t>
      </w:r>
      <w:r w:rsidR="00F70374" w:rsidRPr="00F36B06">
        <w:rPr>
          <w:rFonts w:ascii="Times New Roman" w:hAnsi="Times New Roman" w:cs="Times New Roman"/>
        </w:rPr>
        <w:t xml:space="preserve"> </w:t>
      </w:r>
      <w:r w:rsidR="009836E0" w:rsidRPr="00F36B06">
        <w:rPr>
          <w:rFonts w:ascii="Times New Roman" w:hAnsi="Times New Roman" w:cs="Times New Roman"/>
        </w:rPr>
        <w:t>Valdes un padomes locekļi solidāri atbild par zaudējumiem, ko tie nodarījuši sabiedrībai.</w:t>
      </w:r>
    </w:p>
    <w:p w14:paraId="019B0279" w14:textId="77777777" w:rsidR="005D0D09" w:rsidRPr="00F36B06" w:rsidRDefault="00AB1AF0" w:rsidP="00AB1AF0">
      <w:pPr>
        <w:spacing w:after="0" w:line="240" w:lineRule="auto"/>
        <w:ind w:firstLine="720"/>
        <w:jc w:val="both"/>
        <w:rPr>
          <w:rFonts w:ascii="Times New Roman" w:hAnsi="Times New Roman" w:cs="Times New Roman"/>
        </w:rPr>
      </w:pPr>
      <w:r w:rsidRPr="00F36B06">
        <w:rPr>
          <w:rFonts w:ascii="Times New Roman" w:hAnsi="Times New Roman" w:cs="Times New Roman"/>
        </w:rPr>
        <w:lastRenderedPageBreak/>
        <w:t>Ņemot vērā maksātnespējas procesa mērķi un principus, tostarp maksimāli apmierināt kreditoru prasījumus, par zaudējumiem uzskatāmas jebkuras kaitīgās sekas, kas samazina parādnieka mantu vai palielina parādnieka saistības. Līdz ar to jebkurš civiltiesiskā pārkāpuma rezultātā radies mantiski novērtējams zudums ir uzskatāms par zaudējumu Civillikuma 1770. panta izpratnē.</w:t>
      </w:r>
      <w:r w:rsidRPr="00F36B06">
        <w:rPr>
          <w:rStyle w:val="FootnoteReference"/>
          <w:rFonts w:ascii="Times New Roman" w:hAnsi="Times New Roman" w:cs="Times New Roman"/>
        </w:rPr>
        <w:footnoteReference w:id="39"/>
      </w:r>
      <w:r w:rsidRPr="00F36B06">
        <w:rPr>
          <w:rFonts w:ascii="Times New Roman" w:hAnsi="Times New Roman" w:cs="Times New Roman"/>
        </w:rPr>
        <w:t xml:space="preserve"> </w:t>
      </w:r>
    </w:p>
    <w:p w14:paraId="372C48E2" w14:textId="38F4CA2D" w:rsidR="005D0D09" w:rsidRPr="00F36B06" w:rsidRDefault="005D0D09" w:rsidP="00AB1AF0">
      <w:pPr>
        <w:spacing w:after="0" w:line="240" w:lineRule="auto"/>
        <w:ind w:firstLine="720"/>
        <w:jc w:val="both"/>
        <w:rPr>
          <w:rFonts w:ascii="Times New Roman" w:hAnsi="Times New Roman" w:cs="Times New Roman"/>
        </w:rPr>
      </w:pPr>
      <w:r w:rsidRPr="00F36B06">
        <w:rPr>
          <w:rFonts w:ascii="Times New Roman" w:eastAsia="Times New Roman" w:hAnsi="Times New Roman" w:cs="Times New Roman"/>
          <w:kern w:val="0"/>
          <w14:ligatures w14:val="none"/>
        </w:rPr>
        <w:t>Prasībai, ko administrators ceļ maksātnespējīgas personas labā, ir leģitīms mērķis, ja tā vērsta uz līdzekļu iegūšanu, kas nepieciešami kreditoru prasījumu un maksātnespējas procesa izmaksu segšanai. Judikatūrā nostiprināta atziņa, ka maksātnespējīgas personas labā piedzenamo zaudējumu apmērs samērojams ar kreditoru mantisko interešu un maksātnespējas procesa administrācijas izmaksu nodrošināšanai nepieciešamajiem naudas līdzekļiem.</w:t>
      </w:r>
      <w:r w:rsidRPr="00F36B06">
        <w:rPr>
          <w:rStyle w:val="FootnoteReference"/>
          <w:rFonts w:ascii="Times New Roman" w:eastAsia="Times New Roman" w:hAnsi="Times New Roman" w:cs="Times New Roman"/>
          <w:kern w:val="0"/>
          <w14:ligatures w14:val="none"/>
        </w:rPr>
        <w:footnoteReference w:id="40"/>
      </w:r>
      <w:r w:rsidRPr="00F36B06">
        <w:rPr>
          <w:rFonts w:ascii="Times New Roman" w:eastAsia="Times New Roman" w:hAnsi="Times New Roman" w:cs="Times New Roman"/>
          <w:kern w:val="0"/>
          <w14:ligatures w14:val="none"/>
        </w:rPr>
        <w:t xml:space="preserve"> Proti, zaudējumu apmērs nevar tikt noteikts patvaļīgi, jo arī kreditoru interešu aizsardzība ir īstenojama labā ticībā.</w:t>
      </w:r>
      <w:r w:rsidRPr="00F36B06">
        <w:rPr>
          <w:rStyle w:val="FootnoteReference"/>
          <w:rFonts w:ascii="Times New Roman" w:hAnsi="Times New Roman" w:cs="Times New Roman"/>
        </w:rPr>
        <w:footnoteReference w:id="41"/>
      </w:r>
    </w:p>
    <w:p w14:paraId="338AA869" w14:textId="438FE041" w:rsidR="00AB1AF0" w:rsidRPr="00F36B06" w:rsidRDefault="00AB1AF0" w:rsidP="00AB1AF0">
      <w:pPr>
        <w:spacing w:after="0" w:line="240" w:lineRule="auto"/>
        <w:ind w:firstLine="720"/>
        <w:jc w:val="both"/>
        <w:rPr>
          <w:rFonts w:ascii="Times New Roman" w:hAnsi="Times New Roman" w:cs="Times New Roman"/>
        </w:rPr>
      </w:pPr>
      <w:r w:rsidRPr="00F36B06">
        <w:rPr>
          <w:rFonts w:ascii="Times New Roman" w:hAnsi="Times New Roman" w:cs="Times New Roman"/>
        </w:rPr>
        <w:t>Zaudējumu atlīdzības pienākums iestājas tad, kad vienlaicīgi pastāv šādi priekšnoteikumi: 1) tiesību aizskārēja neattaisnojuma darbība, kas attiecīgos gadījumos ietver arī novērtējumu no vainojamības viedokļa; 2) zaudējumu esamība; 3) cēloniskais sakars starp zaudējumiem un neatļauto darbību.</w:t>
      </w:r>
      <w:r w:rsidRPr="00F36B06">
        <w:rPr>
          <w:rStyle w:val="FootnoteReference"/>
          <w:rFonts w:ascii="Times New Roman" w:hAnsi="Times New Roman" w:cs="Times New Roman"/>
        </w:rPr>
        <w:footnoteReference w:id="42"/>
      </w:r>
      <w:r w:rsidR="00F40300" w:rsidRPr="00F36B06">
        <w:t xml:space="preserve"> </w:t>
      </w:r>
      <w:r w:rsidR="00006B55" w:rsidRPr="00F36B06">
        <w:rPr>
          <w:rFonts w:ascii="Times New Roman" w:hAnsi="Times New Roman" w:cs="Times New Roman"/>
        </w:rPr>
        <w:t>Ievērojot minēto,</w:t>
      </w:r>
      <w:r w:rsidR="00F40300" w:rsidRPr="00F36B06">
        <w:rPr>
          <w:rFonts w:ascii="Times New Roman" w:hAnsi="Times New Roman" w:cs="Times New Roman"/>
        </w:rPr>
        <w:t xml:space="preserve"> administratoram, kurš cēlis prasību pret valdes locekli, ir jāpierāda, pirmkārt, sabiedrībai (</w:t>
      </w:r>
      <w:r w:rsidR="00A62F1F" w:rsidRPr="00F36B06">
        <w:rPr>
          <w:rFonts w:ascii="Times New Roman" w:hAnsi="Times New Roman" w:cs="Times New Roman"/>
        </w:rPr>
        <w:t>un līdz ar to arī</w:t>
      </w:r>
      <w:r w:rsidR="00F40300" w:rsidRPr="00F36B06">
        <w:rPr>
          <w:rFonts w:ascii="Times New Roman" w:hAnsi="Times New Roman" w:cs="Times New Roman"/>
        </w:rPr>
        <w:t xml:space="preserve"> kreditoru kopumam) nodarīto zaudējumu fakts un apmērs, otrkārt, cēloniskais sakars starp zaudējumiem un valdes locekļa rīcību, treškārt, kā šie zaudējumi ir samazinājuši kreditoru prasījumu apmierināšanas iespējas maksātnespējas procesā, bet valdes loceklis var atbrīvoties no civiltiesiskās atbildības, pierādīdams savas rīcības atbilstību krietna un rūpīga saimnieka kritērijiem</w:t>
      </w:r>
      <w:r w:rsidR="00A62F1F" w:rsidRPr="00F36B06">
        <w:rPr>
          <w:rFonts w:ascii="Times New Roman" w:hAnsi="Times New Roman" w:cs="Times New Roman"/>
        </w:rPr>
        <w:t>.</w:t>
      </w:r>
      <w:r w:rsidR="00A62F1F" w:rsidRPr="00F36B06">
        <w:rPr>
          <w:rStyle w:val="FootnoteReference"/>
          <w:rFonts w:ascii="Times New Roman" w:hAnsi="Times New Roman" w:cs="Times New Roman"/>
        </w:rPr>
        <w:footnoteReference w:id="43"/>
      </w:r>
    </w:p>
    <w:p w14:paraId="12508D24" w14:textId="4307C790" w:rsidR="00B9051D" w:rsidRPr="00F36B06" w:rsidRDefault="00915227" w:rsidP="00B9051D">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Kā jau minēt</w:t>
      </w:r>
      <w:r w:rsidR="00993674" w:rsidRPr="00F36B06">
        <w:rPr>
          <w:rFonts w:ascii="Times New Roman" w:hAnsi="Times New Roman" w:cs="Times New Roman"/>
        </w:rPr>
        <w:t xml:space="preserve">s, </w:t>
      </w:r>
      <w:r w:rsidR="00F83FAC" w:rsidRPr="00F36B06">
        <w:rPr>
          <w:rFonts w:ascii="Times New Roman" w:hAnsi="Times New Roman" w:cs="Times New Roman"/>
        </w:rPr>
        <w:t xml:space="preserve">2023. gadā administratori ir cēluši 34 </w:t>
      </w:r>
      <w:r w:rsidRPr="00F36B06">
        <w:rPr>
          <w:rFonts w:ascii="Times New Roman" w:hAnsi="Times New Roman" w:cs="Times New Roman"/>
        </w:rPr>
        <w:t>prasības pret valdi vai citu personu par zaudējumu nodarīšanu parādniekam, pamatojoties uz Civillikuma tiesību normām par zaudējumu atlīdzināšanu, Komerclikuma 169. pantu, Maksātnespējas likuma 65. panta 9. punktu u</w:t>
      </w:r>
      <w:r w:rsidR="00B9051D" w:rsidRPr="00F36B06">
        <w:rPr>
          <w:rFonts w:ascii="Times New Roman" w:hAnsi="Times New Roman" w:cs="Times New Roman"/>
        </w:rPr>
        <w:t>tt.</w:t>
      </w:r>
      <w:r w:rsidR="00BE3DEB" w:rsidRPr="00F36B06">
        <w:rPr>
          <w:rFonts w:ascii="Times New Roman" w:hAnsi="Times New Roman" w:cs="Times New Roman"/>
        </w:rPr>
        <w:t xml:space="preserve"> </w:t>
      </w:r>
      <w:r w:rsidR="00284ABF" w:rsidRPr="00F36B06">
        <w:rPr>
          <w:rFonts w:ascii="Times New Roman" w:hAnsi="Times New Roman" w:cs="Times New Roman"/>
        </w:rPr>
        <w:t xml:space="preserve">Galvenokārt zaudējumu atlīdzības prasības tiek celtas pret parādnieka </w:t>
      </w:r>
      <w:r w:rsidR="002B55B3" w:rsidRPr="00F36B06">
        <w:rPr>
          <w:rFonts w:ascii="Times New Roman" w:hAnsi="Times New Roman" w:cs="Times New Roman"/>
        </w:rPr>
        <w:t>valdes locekļiem, jo viens no katra valdes locekļa pamatpienākumiem ir nodrošināt sabiedrības darbības tiesiskumu.</w:t>
      </w:r>
    </w:p>
    <w:p w14:paraId="1021CCDD" w14:textId="009D7E70" w:rsidR="00C74324" w:rsidRPr="00F36B06" w:rsidRDefault="000D5D3A" w:rsidP="00B9051D">
      <w:pPr>
        <w:pStyle w:val="ListParagraph"/>
        <w:spacing w:after="0" w:line="240" w:lineRule="auto"/>
        <w:ind w:left="0" w:firstLine="720"/>
        <w:jc w:val="both"/>
        <w:rPr>
          <w:rFonts w:ascii="Times New Roman" w:hAnsi="Times New Roman" w:cs="Times New Roman"/>
        </w:rPr>
      </w:pPr>
      <w:r w:rsidRPr="00F36B06">
        <w:rPr>
          <w:rFonts w:ascii="Times New Roman" w:hAnsi="Times New Roman" w:cs="Times New Roman"/>
        </w:rPr>
        <w:t xml:space="preserve">Pienākums atlīdzināt </w:t>
      </w:r>
      <w:r w:rsidR="005E5998" w:rsidRPr="00F36B06">
        <w:rPr>
          <w:rFonts w:ascii="Times New Roman" w:hAnsi="Times New Roman" w:cs="Times New Roman"/>
        </w:rPr>
        <w:t>zaudējumus, kas radušies no mantas nenodošanas</w:t>
      </w:r>
      <w:r w:rsidR="00346B5B" w:rsidRPr="00F36B06">
        <w:rPr>
          <w:rFonts w:ascii="Times New Roman" w:hAnsi="Times New Roman" w:cs="Times New Roman"/>
        </w:rPr>
        <w:t xml:space="preserve">, </w:t>
      </w:r>
      <w:r w:rsidR="00992E8D" w:rsidRPr="00F36B06">
        <w:rPr>
          <w:rFonts w:ascii="Times New Roman" w:hAnsi="Times New Roman" w:cs="Times New Roman"/>
        </w:rPr>
        <w:t>izriet no Maksātnespējas likuma</w:t>
      </w:r>
      <w:r w:rsidR="00FB2009" w:rsidRPr="00F36B06">
        <w:rPr>
          <w:rFonts w:ascii="Times New Roman" w:hAnsi="Times New Roman" w:cs="Times New Roman"/>
        </w:rPr>
        <w:t xml:space="preserve"> 63. panta pirm</w:t>
      </w:r>
      <w:r w:rsidR="00D108CB" w:rsidRPr="00F36B06">
        <w:rPr>
          <w:rFonts w:ascii="Times New Roman" w:hAnsi="Times New Roman" w:cs="Times New Roman"/>
        </w:rPr>
        <w:t>ās daļas 1. punkta</w:t>
      </w:r>
      <w:r w:rsidR="00126953" w:rsidRPr="00F36B06">
        <w:rPr>
          <w:rFonts w:ascii="Times New Roman" w:hAnsi="Times New Roman" w:cs="Times New Roman"/>
        </w:rPr>
        <w:t xml:space="preserve">, kas </w:t>
      </w:r>
      <w:r w:rsidR="00A31ACC" w:rsidRPr="00F36B06">
        <w:rPr>
          <w:rFonts w:ascii="Times New Roman" w:hAnsi="Times New Roman" w:cs="Times New Roman"/>
        </w:rPr>
        <w:t>noteic</w:t>
      </w:r>
      <w:r w:rsidR="00126953" w:rsidRPr="00F36B06">
        <w:rPr>
          <w:rFonts w:ascii="Times New Roman" w:hAnsi="Times New Roman" w:cs="Times New Roman"/>
        </w:rPr>
        <w:t xml:space="preserve">, ka </w:t>
      </w:r>
      <w:r w:rsidR="00A44A8E" w:rsidRPr="00F36B06">
        <w:rPr>
          <w:rFonts w:ascii="Times New Roman" w:hAnsi="Times New Roman" w:cs="Times New Roman"/>
        </w:rPr>
        <w:t>pēc juridiskās personas maksātnespējas procesa pasludināšanas</w:t>
      </w:r>
      <w:r w:rsidR="007B1980" w:rsidRPr="00F36B06">
        <w:rPr>
          <w:rFonts w:ascii="Times New Roman" w:hAnsi="Times New Roman" w:cs="Times New Roman"/>
        </w:rPr>
        <w:t xml:space="preserve"> </w:t>
      </w:r>
      <w:r w:rsidR="00A44A8E" w:rsidRPr="00F36B06">
        <w:rPr>
          <w:rFonts w:ascii="Times New Roman" w:hAnsi="Times New Roman" w:cs="Times New Roman"/>
        </w:rPr>
        <w:t>parādnieks zaudē tiesības rīkoties ar visu savu mantu, kā arī ar viņa valdījumā vai turējumā esošo trešajām personām piederošo mantu, un šīs tiesības iegūst administrators</w:t>
      </w:r>
      <w:r w:rsidR="008D56A0" w:rsidRPr="00F36B06">
        <w:rPr>
          <w:rFonts w:ascii="Times New Roman" w:hAnsi="Times New Roman" w:cs="Times New Roman"/>
        </w:rPr>
        <w:t>.</w:t>
      </w:r>
      <w:r w:rsidR="00976549" w:rsidRPr="00F36B06">
        <w:rPr>
          <w:rFonts w:ascii="Times New Roman" w:hAnsi="Times New Roman" w:cs="Times New Roman"/>
        </w:rPr>
        <w:t xml:space="preserve"> </w:t>
      </w:r>
      <w:r w:rsidR="00F8392B" w:rsidRPr="00F36B06">
        <w:rPr>
          <w:rFonts w:ascii="Times New Roman" w:hAnsi="Times New Roman" w:cs="Times New Roman"/>
        </w:rPr>
        <w:t>Sep</w:t>
      </w:r>
      <w:r w:rsidR="00284F4A" w:rsidRPr="00F36B06">
        <w:rPr>
          <w:rFonts w:ascii="Times New Roman" w:hAnsi="Times New Roman" w:cs="Times New Roman"/>
        </w:rPr>
        <w:t>tiņos</w:t>
      </w:r>
      <w:r w:rsidR="00976549" w:rsidRPr="00F36B06">
        <w:rPr>
          <w:rFonts w:ascii="Times New Roman" w:hAnsi="Times New Roman" w:cs="Times New Roman"/>
        </w:rPr>
        <w:t xml:space="preserve"> gadījumos </w:t>
      </w:r>
      <w:r w:rsidR="00F0288E" w:rsidRPr="00F36B06">
        <w:rPr>
          <w:rFonts w:ascii="Times New Roman" w:hAnsi="Times New Roman" w:cs="Times New Roman"/>
        </w:rPr>
        <w:t>administratoru celtās zaudējumu atlīdzības</w:t>
      </w:r>
      <w:r w:rsidR="00976549" w:rsidRPr="00F36B06">
        <w:rPr>
          <w:rFonts w:ascii="Times New Roman" w:hAnsi="Times New Roman" w:cs="Times New Roman"/>
        </w:rPr>
        <w:t xml:space="preserve"> prasības </w:t>
      </w:r>
      <w:r w:rsidR="00F0288E" w:rsidRPr="00F36B06">
        <w:rPr>
          <w:rFonts w:ascii="Times New Roman" w:hAnsi="Times New Roman" w:cs="Times New Roman"/>
        </w:rPr>
        <w:t>izrietēja no parādnieka pienākuma nodot mantu</w:t>
      </w:r>
      <w:r w:rsidR="00B531DB" w:rsidRPr="00F36B06">
        <w:rPr>
          <w:rFonts w:ascii="Times New Roman" w:hAnsi="Times New Roman" w:cs="Times New Roman"/>
        </w:rPr>
        <w:t xml:space="preserve">, kas netika izpildīts pilnā apmērā </w:t>
      </w:r>
      <w:r w:rsidR="00942D72" w:rsidRPr="00F36B06">
        <w:rPr>
          <w:rFonts w:ascii="Times New Roman" w:hAnsi="Times New Roman" w:cs="Times New Roman"/>
        </w:rPr>
        <w:t xml:space="preserve">vai </w:t>
      </w:r>
      <w:r w:rsidR="00136614" w:rsidRPr="00F36B06">
        <w:rPr>
          <w:rFonts w:ascii="Times New Roman" w:hAnsi="Times New Roman" w:cs="Times New Roman"/>
        </w:rPr>
        <w:t xml:space="preserve">daļēji. </w:t>
      </w:r>
    </w:p>
    <w:p w14:paraId="7A00C0A3" w14:textId="6E0BF925" w:rsidR="002336C0" w:rsidRPr="00F36B06" w:rsidRDefault="00354622"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Deviņos</w:t>
      </w:r>
      <w:r w:rsidR="008570AA" w:rsidRPr="00F36B06">
        <w:rPr>
          <w:rFonts w:ascii="Times New Roman" w:hAnsi="Times New Roman" w:cs="Times New Roman"/>
        </w:rPr>
        <w:t xml:space="preserve"> gadījum</w:t>
      </w:r>
      <w:r w:rsidR="00870300" w:rsidRPr="00F36B06">
        <w:rPr>
          <w:rFonts w:ascii="Times New Roman" w:hAnsi="Times New Roman" w:cs="Times New Roman"/>
        </w:rPr>
        <w:t>o</w:t>
      </w:r>
      <w:r w:rsidR="008570AA" w:rsidRPr="00F36B06">
        <w:rPr>
          <w:rFonts w:ascii="Times New Roman" w:hAnsi="Times New Roman" w:cs="Times New Roman"/>
        </w:rPr>
        <w:t>s</w:t>
      </w:r>
      <w:r w:rsidR="00BA7AF7" w:rsidRPr="00F36B06">
        <w:rPr>
          <w:rFonts w:ascii="Times New Roman" w:hAnsi="Times New Roman" w:cs="Times New Roman"/>
        </w:rPr>
        <w:t xml:space="preserve"> pienākums atlīdzināt zaudējumus </w:t>
      </w:r>
      <w:r w:rsidR="001D4FF3" w:rsidRPr="00F36B06">
        <w:rPr>
          <w:rFonts w:ascii="Times New Roman" w:hAnsi="Times New Roman" w:cs="Times New Roman"/>
        </w:rPr>
        <w:t>ir radies</w:t>
      </w:r>
      <w:r w:rsidR="001C3AC6" w:rsidRPr="00F36B06">
        <w:rPr>
          <w:rFonts w:ascii="Times New Roman" w:hAnsi="Times New Roman" w:cs="Times New Roman"/>
        </w:rPr>
        <w:t xml:space="preserve"> </w:t>
      </w:r>
      <w:r w:rsidR="002A3DEE" w:rsidRPr="00F36B06">
        <w:rPr>
          <w:rFonts w:ascii="Times New Roman" w:hAnsi="Times New Roman" w:cs="Times New Roman"/>
        </w:rPr>
        <w:t>VID</w:t>
      </w:r>
      <w:r w:rsidR="008D56A0" w:rsidRPr="00F36B06">
        <w:rPr>
          <w:rFonts w:ascii="Times New Roman" w:hAnsi="Times New Roman" w:cs="Times New Roman"/>
        </w:rPr>
        <w:t xml:space="preserve"> </w:t>
      </w:r>
      <w:r w:rsidR="00DC232D" w:rsidRPr="00F36B06">
        <w:rPr>
          <w:rFonts w:ascii="Times New Roman" w:hAnsi="Times New Roman" w:cs="Times New Roman"/>
        </w:rPr>
        <w:t xml:space="preserve">audita rezultātā veiktā </w:t>
      </w:r>
      <w:r w:rsidR="008D56A0" w:rsidRPr="00F36B06">
        <w:rPr>
          <w:rFonts w:ascii="Times New Roman" w:hAnsi="Times New Roman" w:cs="Times New Roman"/>
        </w:rPr>
        <w:t>uzrēķin</w:t>
      </w:r>
      <w:r w:rsidR="00DC232D" w:rsidRPr="00F36B06">
        <w:rPr>
          <w:rFonts w:ascii="Times New Roman" w:hAnsi="Times New Roman" w:cs="Times New Roman"/>
        </w:rPr>
        <w:t>a dēļ.</w:t>
      </w:r>
      <w:r w:rsidR="00F0288E" w:rsidRPr="00F36B06">
        <w:rPr>
          <w:rFonts w:ascii="Times New Roman" w:hAnsi="Times New Roman" w:cs="Times New Roman"/>
        </w:rPr>
        <w:t xml:space="preserve"> </w:t>
      </w:r>
      <w:r w:rsidR="001F782F" w:rsidRPr="00F36B06">
        <w:rPr>
          <w:rFonts w:ascii="Times New Roman" w:hAnsi="Times New Roman" w:cs="Times New Roman"/>
        </w:rPr>
        <w:t xml:space="preserve">Komerclikuma 221. panta pirmā daļa </w:t>
      </w:r>
      <w:r w:rsidR="00AA77C3" w:rsidRPr="00F36B06">
        <w:rPr>
          <w:rFonts w:ascii="Times New Roman" w:hAnsi="Times New Roman" w:cs="Times New Roman"/>
        </w:rPr>
        <w:t>noteic</w:t>
      </w:r>
      <w:r w:rsidR="001F782F" w:rsidRPr="00F36B06">
        <w:rPr>
          <w:rFonts w:ascii="Times New Roman" w:hAnsi="Times New Roman" w:cs="Times New Roman"/>
        </w:rPr>
        <w:t xml:space="preserve">, ka valde ir sabiedrības izpildinstitūcija, kura vada un pārstāv sabiedrību. No minētās tiesību normas izriet, ka tieši valdes loceklis ir atbildīgs </w:t>
      </w:r>
      <w:r w:rsidR="00A3772E" w:rsidRPr="00F36B06">
        <w:rPr>
          <w:rFonts w:ascii="Times New Roman" w:hAnsi="Times New Roman" w:cs="Times New Roman"/>
        </w:rPr>
        <w:t>par</w:t>
      </w:r>
      <w:r w:rsidR="001F782F" w:rsidRPr="00F36B06">
        <w:rPr>
          <w:rFonts w:ascii="Times New Roman" w:hAnsi="Times New Roman" w:cs="Times New Roman"/>
        </w:rPr>
        <w:t xml:space="preserve"> </w:t>
      </w:r>
      <w:r w:rsidR="004A267A" w:rsidRPr="00F36B06">
        <w:rPr>
          <w:rFonts w:ascii="Times New Roman" w:hAnsi="Times New Roman" w:cs="Times New Roman"/>
        </w:rPr>
        <w:t>nodokļa aprēķina</w:t>
      </w:r>
      <w:r w:rsidR="00F77D75" w:rsidRPr="00F36B06">
        <w:rPr>
          <w:rFonts w:ascii="Times New Roman" w:hAnsi="Times New Roman" w:cs="Times New Roman"/>
        </w:rPr>
        <w:t xml:space="preserve"> pareizību</w:t>
      </w:r>
      <w:r w:rsidR="00B93962" w:rsidRPr="00F36B06">
        <w:rPr>
          <w:rFonts w:ascii="Times New Roman" w:hAnsi="Times New Roman" w:cs="Times New Roman"/>
        </w:rPr>
        <w:t>, veicot saimniecisko darbību</w:t>
      </w:r>
      <w:r w:rsidR="00AA77C3" w:rsidRPr="00F36B06">
        <w:rPr>
          <w:rFonts w:ascii="Times New Roman" w:hAnsi="Times New Roman" w:cs="Times New Roman"/>
        </w:rPr>
        <w:t>.</w:t>
      </w:r>
      <w:r w:rsidR="00B93962" w:rsidRPr="00F36B06">
        <w:rPr>
          <w:rFonts w:ascii="Times New Roman" w:hAnsi="Times New Roman" w:cs="Times New Roman"/>
        </w:rPr>
        <w:t xml:space="preserve"> </w:t>
      </w:r>
      <w:r w:rsidR="0033637D" w:rsidRPr="00F36B06">
        <w:rPr>
          <w:rFonts w:ascii="Times New Roman" w:hAnsi="Times New Roman" w:cs="Times New Roman"/>
        </w:rPr>
        <w:t>L</w:t>
      </w:r>
      <w:r w:rsidR="00C754BB" w:rsidRPr="00F36B06">
        <w:rPr>
          <w:rFonts w:ascii="Times New Roman" w:hAnsi="Times New Roman" w:cs="Times New Roman"/>
        </w:rPr>
        <w:t xml:space="preserve">īdz ar to </w:t>
      </w:r>
      <w:r w:rsidR="00B93962" w:rsidRPr="00F36B06">
        <w:rPr>
          <w:rFonts w:ascii="Times New Roman" w:hAnsi="Times New Roman" w:cs="Times New Roman"/>
        </w:rPr>
        <w:t>gadījumā, ja V</w:t>
      </w:r>
      <w:r w:rsidR="001E3036" w:rsidRPr="00F36B06">
        <w:rPr>
          <w:rFonts w:ascii="Times New Roman" w:hAnsi="Times New Roman" w:cs="Times New Roman"/>
        </w:rPr>
        <w:t xml:space="preserve">ID ir konstatējis </w:t>
      </w:r>
      <w:r w:rsidR="00697DFE" w:rsidRPr="00F36B06">
        <w:rPr>
          <w:rFonts w:ascii="Times New Roman" w:hAnsi="Times New Roman" w:cs="Times New Roman"/>
        </w:rPr>
        <w:t>normatīvo aktu pārkāpumus</w:t>
      </w:r>
      <w:r w:rsidR="00A34919" w:rsidRPr="00F36B06">
        <w:rPr>
          <w:rFonts w:ascii="Times New Roman" w:hAnsi="Times New Roman" w:cs="Times New Roman"/>
        </w:rPr>
        <w:t xml:space="preserve">, </w:t>
      </w:r>
      <w:r w:rsidR="00DE3724" w:rsidRPr="00F36B06">
        <w:rPr>
          <w:rFonts w:ascii="Times New Roman" w:hAnsi="Times New Roman" w:cs="Times New Roman"/>
        </w:rPr>
        <w:t xml:space="preserve">parādniekam </w:t>
      </w:r>
      <w:r w:rsidR="00A34919" w:rsidRPr="00F36B06">
        <w:rPr>
          <w:rFonts w:ascii="Times New Roman" w:hAnsi="Times New Roman" w:cs="Times New Roman"/>
        </w:rPr>
        <w:t xml:space="preserve">aprēķinot valsts budžetā maksājamo nodokļa summu, </w:t>
      </w:r>
      <w:r w:rsidR="00E94AAA" w:rsidRPr="00F36B06">
        <w:rPr>
          <w:rFonts w:ascii="Times New Roman" w:hAnsi="Times New Roman" w:cs="Times New Roman"/>
        </w:rPr>
        <w:t>valdes locekļiem rodas pienākums segt arī šādus zaudējumus</w:t>
      </w:r>
      <w:r w:rsidR="008F03C8" w:rsidRPr="00F36B06">
        <w:rPr>
          <w:rFonts w:ascii="Times New Roman" w:hAnsi="Times New Roman" w:cs="Times New Roman"/>
        </w:rPr>
        <w:t xml:space="preserve">, </w:t>
      </w:r>
      <w:r w:rsidR="0094215B" w:rsidRPr="00F36B06">
        <w:rPr>
          <w:rFonts w:ascii="Times New Roman" w:hAnsi="Times New Roman" w:cs="Times New Roman"/>
        </w:rPr>
        <w:t>protams, gadījumā, ja ir iestājušies arī citi zaudējumu segšanas priekšnoteikumi</w:t>
      </w:r>
      <w:r w:rsidR="00766995" w:rsidRPr="00F36B06">
        <w:rPr>
          <w:rFonts w:ascii="Times New Roman" w:hAnsi="Times New Roman" w:cs="Times New Roman"/>
        </w:rPr>
        <w:t>.</w:t>
      </w:r>
    </w:p>
    <w:p w14:paraId="4A752570" w14:textId="7F939658" w:rsidR="00213A9D" w:rsidRPr="00F36B06" w:rsidRDefault="008F6424"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Sešos gadījumos pret parādnieka valdes locekli ir celtas </w:t>
      </w:r>
      <w:r w:rsidR="00F16F7D" w:rsidRPr="00F36B06">
        <w:rPr>
          <w:rFonts w:ascii="Times New Roman" w:hAnsi="Times New Roman" w:cs="Times New Roman"/>
        </w:rPr>
        <w:t>prasības par pamatkapitāla apmaksu</w:t>
      </w:r>
      <w:r w:rsidR="0045584E" w:rsidRPr="00F36B06">
        <w:rPr>
          <w:rFonts w:ascii="Times New Roman" w:hAnsi="Times New Roman" w:cs="Times New Roman"/>
        </w:rPr>
        <w:t xml:space="preserve">. </w:t>
      </w:r>
      <w:r w:rsidR="007177E6" w:rsidRPr="00F36B06">
        <w:rPr>
          <w:rFonts w:ascii="Times New Roman" w:hAnsi="Times New Roman" w:cs="Times New Roman"/>
        </w:rPr>
        <w:t>Saskaņā ar Civillikuma 1402.</w:t>
      </w:r>
      <w:r w:rsidR="00696482" w:rsidRPr="00F36B06">
        <w:rPr>
          <w:rFonts w:ascii="Times New Roman" w:hAnsi="Times New Roman" w:cs="Times New Roman"/>
        </w:rPr>
        <w:t> </w:t>
      </w:r>
      <w:r w:rsidR="007177E6" w:rsidRPr="00F36B06">
        <w:rPr>
          <w:rFonts w:ascii="Times New Roman" w:hAnsi="Times New Roman" w:cs="Times New Roman"/>
        </w:rPr>
        <w:t xml:space="preserve">pantu saistību tiesības rodas vai nu no tiesiska darījuma, vai no neatļautas darbības, vai pēc likuma. </w:t>
      </w:r>
      <w:r w:rsidR="00C30C1C" w:rsidRPr="00F36B06">
        <w:rPr>
          <w:rFonts w:ascii="Times New Roman" w:hAnsi="Times New Roman" w:cs="Times New Roman"/>
        </w:rPr>
        <w:t xml:space="preserve">Atbilstoši </w:t>
      </w:r>
      <w:r w:rsidR="007177E6" w:rsidRPr="00F36B06">
        <w:rPr>
          <w:rFonts w:ascii="Times New Roman" w:hAnsi="Times New Roman" w:cs="Times New Roman"/>
        </w:rPr>
        <w:t>Maksātnespējas likuma 65.</w:t>
      </w:r>
      <w:r w:rsidR="00696482" w:rsidRPr="00F36B06">
        <w:rPr>
          <w:rFonts w:ascii="Times New Roman" w:hAnsi="Times New Roman" w:cs="Times New Roman"/>
        </w:rPr>
        <w:t> </w:t>
      </w:r>
      <w:r w:rsidR="007177E6" w:rsidRPr="00F36B06">
        <w:rPr>
          <w:rFonts w:ascii="Times New Roman" w:hAnsi="Times New Roman" w:cs="Times New Roman"/>
        </w:rPr>
        <w:t>panta 9.</w:t>
      </w:r>
      <w:r w:rsidR="00696482" w:rsidRPr="00F36B06">
        <w:rPr>
          <w:rFonts w:ascii="Times New Roman" w:hAnsi="Times New Roman" w:cs="Times New Roman"/>
        </w:rPr>
        <w:t> </w:t>
      </w:r>
      <w:r w:rsidR="007177E6" w:rsidRPr="00F36B06">
        <w:rPr>
          <w:rFonts w:ascii="Times New Roman" w:hAnsi="Times New Roman" w:cs="Times New Roman"/>
        </w:rPr>
        <w:t>punkt</w:t>
      </w:r>
      <w:r w:rsidR="00C30C1C" w:rsidRPr="00F36B06">
        <w:rPr>
          <w:rFonts w:ascii="Times New Roman" w:hAnsi="Times New Roman" w:cs="Times New Roman"/>
        </w:rPr>
        <w:t>am</w:t>
      </w:r>
      <w:r w:rsidR="007177E6" w:rsidRPr="00F36B06">
        <w:rPr>
          <w:rFonts w:ascii="Times New Roman" w:hAnsi="Times New Roman" w:cs="Times New Roman"/>
        </w:rPr>
        <w:t xml:space="preserve"> pēc juridiskās personas maksātnespējas procesa pasludināšanas administrators pieprasa, lai parādnieka dalībnieki (akcionāri) izpilda savas saistības attiecībā uz parādnieka pamatkapitālu vai </w:t>
      </w:r>
      <w:r w:rsidR="007177E6" w:rsidRPr="00F36B06">
        <w:rPr>
          <w:rFonts w:ascii="Times New Roman" w:hAnsi="Times New Roman" w:cs="Times New Roman"/>
        </w:rPr>
        <w:lastRenderedPageBreak/>
        <w:t>citu mantu, un iesniedz tiesai prasības par šādu saistību izpildi. Komerclikum</w:t>
      </w:r>
      <w:r w:rsidR="002550A6" w:rsidRPr="00F36B06">
        <w:rPr>
          <w:rFonts w:ascii="Times New Roman" w:hAnsi="Times New Roman" w:cs="Times New Roman"/>
        </w:rPr>
        <w:t xml:space="preserve">s nosaka </w:t>
      </w:r>
      <w:r w:rsidR="006E1446" w:rsidRPr="00F36B06">
        <w:rPr>
          <w:rFonts w:ascii="Times New Roman" w:hAnsi="Times New Roman" w:cs="Times New Roman"/>
        </w:rPr>
        <w:t>prasības pamatkapitāla lielumam</w:t>
      </w:r>
      <w:r w:rsidR="00D70F3A" w:rsidRPr="00F36B06">
        <w:rPr>
          <w:rFonts w:ascii="Times New Roman" w:hAnsi="Times New Roman" w:cs="Times New Roman"/>
        </w:rPr>
        <w:t>, kā arī tā apmaksas kārtību</w:t>
      </w:r>
      <w:r w:rsidR="00744A03" w:rsidRPr="00F36B06">
        <w:rPr>
          <w:rFonts w:ascii="Times New Roman" w:hAnsi="Times New Roman" w:cs="Times New Roman"/>
        </w:rPr>
        <w:t>, piemēram</w:t>
      </w:r>
      <w:r w:rsidR="003F1C78" w:rsidRPr="00F36B06">
        <w:rPr>
          <w:rFonts w:ascii="Times New Roman" w:hAnsi="Times New Roman" w:cs="Times New Roman"/>
        </w:rPr>
        <w:t>,</w:t>
      </w:r>
      <w:r w:rsidR="00744A03" w:rsidRPr="00F36B06">
        <w:rPr>
          <w:rFonts w:ascii="Times New Roman" w:hAnsi="Times New Roman" w:cs="Times New Roman"/>
        </w:rPr>
        <w:t xml:space="preserve"> saskaņā ar Komerclikuma</w:t>
      </w:r>
      <w:r w:rsidR="00210278" w:rsidRPr="00F36B06">
        <w:rPr>
          <w:rFonts w:ascii="Times New Roman" w:hAnsi="Times New Roman" w:cs="Times New Roman"/>
        </w:rPr>
        <w:t xml:space="preserve"> 185. pantu sabiedrības ar ierobežotu atbildību minimālais pamatkapitāla lielums ir 2</w:t>
      </w:r>
      <w:r w:rsidR="0021080C" w:rsidRPr="00F36B06">
        <w:rPr>
          <w:rFonts w:ascii="Times New Roman" w:hAnsi="Times New Roman" w:cs="Times New Roman"/>
        </w:rPr>
        <w:t> </w:t>
      </w:r>
      <w:r w:rsidR="00210278" w:rsidRPr="00F36B06">
        <w:rPr>
          <w:rFonts w:ascii="Times New Roman" w:hAnsi="Times New Roman" w:cs="Times New Roman"/>
        </w:rPr>
        <w:t>800</w:t>
      </w:r>
      <w:r w:rsidR="00F74108" w:rsidRPr="00F36B06">
        <w:rPr>
          <w:rFonts w:ascii="Times New Roman" w:hAnsi="Times New Roman" w:cs="Times New Roman"/>
        </w:rPr>
        <w:t> </w:t>
      </w:r>
      <w:proofErr w:type="spellStart"/>
      <w:r w:rsidR="00210278" w:rsidRPr="00F36B06">
        <w:rPr>
          <w:rFonts w:ascii="Times New Roman" w:hAnsi="Times New Roman" w:cs="Times New Roman"/>
          <w:i/>
          <w:iCs/>
        </w:rPr>
        <w:t>euro</w:t>
      </w:r>
      <w:proofErr w:type="spellEnd"/>
      <w:r w:rsidR="00210278" w:rsidRPr="00F36B06">
        <w:rPr>
          <w:rFonts w:ascii="Times New Roman" w:hAnsi="Times New Roman" w:cs="Times New Roman"/>
        </w:rPr>
        <w:t>.</w:t>
      </w:r>
      <w:r w:rsidR="008709B1" w:rsidRPr="00F36B06">
        <w:rPr>
          <w:rFonts w:ascii="Times New Roman" w:hAnsi="Times New Roman" w:cs="Times New Roman"/>
        </w:rPr>
        <w:t xml:space="preserve"> Savukārt </w:t>
      </w:r>
      <w:r w:rsidR="00EF47CA" w:rsidRPr="00F36B06">
        <w:rPr>
          <w:rFonts w:ascii="Times New Roman" w:hAnsi="Times New Roman" w:cs="Times New Roman"/>
        </w:rPr>
        <w:t>a</w:t>
      </w:r>
      <w:r w:rsidR="007177E6" w:rsidRPr="00F36B06">
        <w:rPr>
          <w:rFonts w:ascii="Times New Roman" w:hAnsi="Times New Roman" w:cs="Times New Roman"/>
        </w:rPr>
        <w:t>tbilstoši Komerclikuma 185.</w:t>
      </w:r>
      <w:r w:rsidR="007177E6" w:rsidRPr="00F36B06">
        <w:rPr>
          <w:rFonts w:ascii="Times New Roman" w:hAnsi="Times New Roman" w:cs="Times New Roman"/>
          <w:vertAlign w:val="superscript"/>
        </w:rPr>
        <w:t>1</w:t>
      </w:r>
      <w:r w:rsidR="001B395A" w:rsidRPr="00F36B06">
        <w:rPr>
          <w:rFonts w:ascii="Times New Roman" w:hAnsi="Times New Roman" w:cs="Times New Roman"/>
        </w:rPr>
        <w:t> </w:t>
      </w:r>
      <w:r w:rsidR="007177E6" w:rsidRPr="00F36B06">
        <w:rPr>
          <w:rFonts w:ascii="Times New Roman" w:hAnsi="Times New Roman" w:cs="Times New Roman"/>
        </w:rPr>
        <w:t>panta septītajai daļai, ja sabiedrības pamatkapitāls ir mazāks par šā likuma 185.</w:t>
      </w:r>
      <w:r w:rsidR="00123445" w:rsidRPr="00F36B06">
        <w:rPr>
          <w:rFonts w:ascii="Times New Roman" w:hAnsi="Times New Roman" w:cs="Times New Roman"/>
        </w:rPr>
        <w:t> </w:t>
      </w:r>
      <w:r w:rsidR="007177E6" w:rsidRPr="00F36B06">
        <w:rPr>
          <w:rFonts w:ascii="Times New Roman" w:hAnsi="Times New Roman" w:cs="Times New Roman"/>
        </w:rPr>
        <w:t>pantā noteikto un ir pasludināts šīs sabiedrības maksātnespējas process, tās dalībnieki solidāri atbild par sabiedrības saistībām, kuru kopējais apmērs nepārsniedz šā likuma 185.</w:t>
      </w:r>
      <w:r w:rsidR="00123445" w:rsidRPr="00F36B06">
        <w:rPr>
          <w:rFonts w:ascii="Times New Roman" w:hAnsi="Times New Roman" w:cs="Times New Roman"/>
        </w:rPr>
        <w:t> </w:t>
      </w:r>
      <w:r w:rsidR="007177E6" w:rsidRPr="00F36B06">
        <w:rPr>
          <w:rFonts w:ascii="Times New Roman" w:hAnsi="Times New Roman" w:cs="Times New Roman"/>
        </w:rPr>
        <w:t>pantā noteiktā pamatkapitāla apmēra un dibinātāju apmaksātā pamatkapitāla apmēra starpību.</w:t>
      </w:r>
      <w:r w:rsidR="00813E13" w:rsidRPr="00F36B06">
        <w:rPr>
          <w:rFonts w:ascii="Times New Roman" w:hAnsi="Times New Roman" w:cs="Times New Roman"/>
        </w:rPr>
        <w:t xml:space="preserve"> </w:t>
      </w:r>
      <w:r w:rsidR="0063706C" w:rsidRPr="00F36B06">
        <w:rPr>
          <w:rFonts w:ascii="Times New Roman" w:hAnsi="Times New Roman" w:cs="Times New Roman"/>
        </w:rPr>
        <w:t>Šāds regulējuma aizsargā kreditoru intereses</w:t>
      </w:r>
      <w:r w:rsidR="001F00AF" w:rsidRPr="00F36B06">
        <w:rPr>
          <w:rFonts w:ascii="Times New Roman" w:hAnsi="Times New Roman" w:cs="Times New Roman"/>
        </w:rPr>
        <w:t xml:space="preserve"> gadījumā, kad pastāv starpība starp pamatkapitāla lielumu 2</w:t>
      </w:r>
      <w:r w:rsidR="0021080C" w:rsidRPr="00F36B06">
        <w:rPr>
          <w:rFonts w:ascii="Times New Roman" w:hAnsi="Times New Roman" w:cs="Times New Roman"/>
        </w:rPr>
        <w:t> </w:t>
      </w:r>
      <w:r w:rsidR="001F00AF" w:rsidRPr="00F36B06">
        <w:rPr>
          <w:rFonts w:ascii="Times New Roman" w:hAnsi="Times New Roman" w:cs="Times New Roman"/>
        </w:rPr>
        <w:t>800</w:t>
      </w:r>
      <w:r w:rsidR="00330728" w:rsidRPr="00F36B06">
        <w:rPr>
          <w:rFonts w:ascii="Times New Roman" w:hAnsi="Times New Roman" w:cs="Times New Roman"/>
        </w:rPr>
        <w:t> </w:t>
      </w:r>
      <w:proofErr w:type="spellStart"/>
      <w:r w:rsidR="001F00AF" w:rsidRPr="00F36B06">
        <w:rPr>
          <w:rFonts w:ascii="Times New Roman" w:hAnsi="Times New Roman" w:cs="Times New Roman"/>
          <w:i/>
          <w:iCs/>
        </w:rPr>
        <w:t>euro</w:t>
      </w:r>
      <w:proofErr w:type="spellEnd"/>
      <w:r w:rsidR="001F00AF" w:rsidRPr="00F36B06">
        <w:rPr>
          <w:rFonts w:ascii="Times New Roman" w:hAnsi="Times New Roman" w:cs="Times New Roman"/>
        </w:rPr>
        <w:t xml:space="preserve"> apmērā un konkrētās sabiedrības faktiski apmaksātā pamatkapitāla apmēru</w:t>
      </w:r>
      <w:r w:rsidR="00F571EE" w:rsidRPr="00F36B06">
        <w:rPr>
          <w:rFonts w:ascii="Times New Roman" w:hAnsi="Times New Roman" w:cs="Times New Roman"/>
        </w:rPr>
        <w:t>.</w:t>
      </w:r>
    </w:p>
    <w:p w14:paraId="0AED914F" w14:textId="78DA943A" w:rsidR="003F2192" w:rsidRPr="00F36B06" w:rsidRDefault="0063706C"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Šādas</w:t>
      </w:r>
      <w:r w:rsidR="0045584E" w:rsidRPr="00F36B06">
        <w:rPr>
          <w:rFonts w:ascii="Times New Roman" w:hAnsi="Times New Roman" w:cs="Times New Roman"/>
        </w:rPr>
        <w:t xml:space="preserve"> prasības nav zaudējumu a</w:t>
      </w:r>
      <w:r w:rsidR="0020201B" w:rsidRPr="00F36B06">
        <w:rPr>
          <w:rFonts w:ascii="Times New Roman" w:hAnsi="Times New Roman" w:cs="Times New Roman"/>
        </w:rPr>
        <w:t xml:space="preserve">tlīdzības prasības, </w:t>
      </w:r>
      <w:r w:rsidR="008D3320" w:rsidRPr="00F36B06">
        <w:rPr>
          <w:rFonts w:ascii="Times New Roman" w:hAnsi="Times New Roman" w:cs="Times New Roman"/>
        </w:rPr>
        <w:t>bet gan prasības par saistību izpildi, tomēr tās ir iekļautas pētījuma tvērumā</w:t>
      </w:r>
      <w:r w:rsidR="003B09F9" w:rsidRPr="00F36B06">
        <w:rPr>
          <w:rFonts w:ascii="Times New Roman" w:hAnsi="Times New Roman" w:cs="Times New Roman"/>
        </w:rPr>
        <w:t xml:space="preserve">, jo šādas prasības tiek celtas </w:t>
      </w:r>
      <w:r w:rsidR="004A2101" w:rsidRPr="00F36B06">
        <w:rPr>
          <w:rFonts w:ascii="Times New Roman" w:hAnsi="Times New Roman" w:cs="Times New Roman"/>
        </w:rPr>
        <w:t xml:space="preserve">un apmierinātas </w:t>
      </w:r>
      <w:r w:rsidR="003B09F9" w:rsidRPr="00F36B06">
        <w:rPr>
          <w:rFonts w:ascii="Times New Roman" w:hAnsi="Times New Roman" w:cs="Times New Roman"/>
        </w:rPr>
        <w:t>samēr</w:t>
      </w:r>
      <w:r w:rsidR="003059F8" w:rsidRPr="00F36B06">
        <w:rPr>
          <w:rFonts w:ascii="Times New Roman" w:hAnsi="Times New Roman" w:cs="Times New Roman"/>
        </w:rPr>
        <w:t>ā</w:t>
      </w:r>
      <w:r w:rsidR="003B09F9" w:rsidRPr="00F36B06">
        <w:rPr>
          <w:rFonts w:ascii="Times New Roman" w:hAnsi="Times New Roman" w:cs="Times New Roman"/>
        </w:rPr>
        <w:t xml:space="preserve"> bieži</w:t>
      </w:r>
      <w:r w:rsidR="00036DA8" w:rsidRPr="00F36B06">
        <w:rPr>
          <w:rFonts w:ascii="Times New Roman" w:hAnsi="Times New Roman" w:cs="Times New Roman"/>
        </w:rPr>
        <w:t>, kā</w:t>
      </w:r>
      <w:r w:rsidR="00C03E84" w:rsidRPr="00F36B06">
        <w:rPr>
          <w:rFonts w:ascii="Times New Roman" w:hAnsi="Times New Roman" w:cs="Times New Roman"/>
        </w:rPr>
        <w:t xml:space="preserve"> rezultātā </w:t>
      </w:r>
      <w:r w:rsidR="00537AEB" w:rsidRPr="00F36B06">
        <w:rPr>
          <w:rFonts w:ascii="Times New Roman" w:hAnsi="Times New Roman" w:cs="Times New Roman"/>
        </w:rPr>
        <w:t>administratoram</w:t>
      </w:r>
      <w:r w:rsidR="001816DA" w:rsidRPr="00F36B06">
        <w:rPr>
          <w:rFonts w:ascii="Times New Roman" w:hAnsi="Times New Roman" w:cs="Times New Roman"/>
        </w:rPr>
        <w:t xml:space="preserve"> ir ies</w:t>
      </w:r>
      <w:r w:rsidR="00537AEB" w:rsidRPr="00F36B06">
        <w:rPr>
          <w:rFonts w:ascii="Times New Roman" w:hAnsi="Times New Roman" w:cs="Times New Roman"/>
        </w:rPr>
        <w:t>pēja atgūt mantu</w:t>
      </w:r>
      <w:r w:rsidR="003059F8" w:rsidRPr="00F36B06">
        <w:rPr>
          <w:rFonts w:ascii="Times New Roman" w:hAnsi="Times New Roman" w:cs="Times New Roman"/>
        </w:rPr>
        <w:t>,</w:t>
      </w:r>
      <w:r w:rsidR="00537AEB" w:rsidRPr="00F36B06">
        <w:rPr>
          <w:rFonts w:ascii="Times New Roman" w:hAnsi="Times New Roman" w:cs="Times New Roman"/>
        </w:rPr>
        <w:t xml:space="preserve"> kas novirzāma kreditoru prasījumu segšanai</w:t>
      </w:r>
      <w:r w:rsidR="003B2544" w:rsidRPr="00F36B06">
        <w:rPr>
          <w:rFonts w:ascii="Times New Roman" w:hAnsi="Times New Roman" w:cs="Times New Roman"/>
        </w:rPr>
        <w:t>.</w:t>
      </w:r>
    </w:p>
    <w:p w14:paraId="026A0527" w14:textId="41092974" w:rsidR="001309B6" w:rsidRPr="00F36B06" w:rsidRDefault="003B2544" w:rsidP="00A82B1D">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Tāpat </w:t>
      </w:r>
      <w:r w:rsidR="001309B6" w:rsidRPr="00F36B06">
        <w:rPr>
          <w:rFonts w:ascii="Times New Roman" w:hAnsi="Times New Roman" w:cs="Times New Roman"/>
        </w:rPr>
        <w:t xml:space="preserve">12 gadījumos </w:t>
      </w:r>
      <w:r w:rsidRPr="00F36B06">
        <w:rPr>
          <w:rFonts w:ascii="Times New Roman" w:hAnsi="Times New Roman" w:cs="Times New Roman"/>
        </w:rPr>
        <w:t>ir celtas citas zaudējumu atlīdzības prasības</w:t>
      </w:r>
      <w:r w:rsidR="00212CDB" w:rsidRPr="00F36B06">
        <w:rPr>
          <w:rFonts w:ascii="Times New Roman" w:hAnsi="Times New Roman" w:cs="Times New Roman"/>
        </w:rPr>
        <w:t xml:space="preserve">, kas izriet no </w:t>
      </w:r>
      <w:r w:rsidR="00D56B28" w:rsidRPr="00F36B06">
        <w:rPr>
          <w:rFonts w:ascii="Times New Roman" w:hAnsi="Times New Roman" w:cs="Times New Roman"/>
        </w:rPr>
        <w:t xml:space="preserve">parādnieka </w:t>
      </w:r>
      <w:r w:rsidR="00CA7203" w:rsidRPr="00F36B06">
        <w:rPr>
          <w:rFonts w:ascii="Times New Roman" w:hAnsi="Times New Roman" w:cs="Times New Roman"/>
        </w:rPr>
        <w:t xml:space="preserve">valdes loceklim </w:t>
      </w:r>
      <w:r w:rsidR="00D56B28" w:rsidRPr="00F36B06">
        <w:rPr>
          <w:rFonts w:ascii="Times New Roman" w:hAnsi="Times New Roman" w:cs="Times New Roman"/>
        </w:rPr>
        <w:t xml:space="preserve">izsniegtā un </w:t>
      </w:r>
      <w:r w:rsidR="00F36F62" w:rsidRPr="00F36B06">
        <w:rPr>
          <w:rFonts w:ascii="Times New Roman" w:hAnsi="Times New Roman" w:cs="Times New Roman"/>
        </w:rPr>
        <w:t>neatmaksātā aizdevuma,</w:t>
      </w:r>
      <w:r w:rsidR="00850AEC" w:rsidRPr="00F36B06">
        <w:rPr>
          <w:rFonts w:ascii="Times New Roman" w:hAnsi="Times New Roman" w:cs="Times New Roman"/>
        </w:rPr>
        <w:t xml:space="preserve"> faktiskās maksātnespējas stāvoklī izmaksātāj</w:t>
      </w:r>
      <w:r w:rsidR="000152B4" w:rsidRPr="00F36B06">
        <w:rPr>
          <w:rFonts w:ascii="Times New Roman" w:hAnsi="Times New Roman" w:cs="Times New Roman"/>
        </w:rPr>
        <w:t>ā</w:t>
      </w:r>
      <w:r w:rsidR="00850AEC" w:rsidRPr="00F36B06">
        <w:rPr>
          <w:rFonts w:ascii="Times New Roman" w:hAnsi="Times New Roman" w:cs="Times New Roman"/>
        </w:rPr>
        <w:t>m dividendēm</w:t>
      </w:r>
      <w:r w:rsidR="002831DC" w:rsidRPr="00F36B06">
        <w:rPr>
          <w:rFonts w:ascii="Times New Roman" w:hAnsi="Times New Roman" w:cs="Times New Roman"/>
        </w:rPr>
        <w:t xml:space="preserve">, </w:t>
      </w:r>
      <w:r w:rsidR="003B4875" w:rsidRPr="00F36B06">
        <w:rPr>
          <w:rFonts w:ascii="Times New Roman" w:hAnsi="Times New Roman" w:cs="Times New Roman"/>
        </w:rPr>
        <w:t>par mantas atsavināšanas darījumiem zem tirgus vērtības</w:t>
      </w:r>
      <w:r w:rsidR="008A142E" w:rsidRPr="00F36B06">
        <w:rPr>
          <w:rFonts w:ascii="Times New Roman" w:hAnsi="Times New Roman" w:cs="Times New Roman"/>
        </w:rPr>
        <w:t xml:space="preserve">, </w:t>
      </w:r>
      <w:r w:rsidR="00F91318" w:rsidRPr="00F36B06">
        <w:rPr>
          <w:rFonts w:ascii="Times New Roman" w:hAnsi="Times New Roman" w:cs="Times New Roman"/>
        </w:rPr>
        <w:t xml:space="preserve">nepamatotām izmaksām valdes loceklim </w:t>
      </w:r>
      <w:r w:rsidR="00EF108E" w:rsidRPr="00F36B06">
        <w:rPr>
          <w:rFonts w:ascii="Times New Roman" w:hAnsi="Times New Roman" w:cs="Times New Roman"/>
        </w:rPr>
        <w:t>utt.</w:t>
      </w:r>
    </w:p>
    <w:p w14:paraId="4A82737E" w14:textId="44FC4B82" w:rsidR="00CE3A2C" w:rsidRPr="00F36B06" w:rsidRDefault="00CC0123" w:rsidP="00A82B1D">
      <w:pPr>
        <w:spacing w:after="0" w:line="240" w:lineRule="auto"/>
        <w:ind w:firstLine="720"/>
        <w:jc w:val="both"/>
        <w:rPr>
          <w:rFonts w:ascii="Times New Roman" w:eastAsia="Times New Roman" w:hAnsi="Times New Roman" w:cs="Times New Roman"/>
          <w:color w:val="000000"/>
          <w:kern w:val="0"/>
          <w:lang w:eastAsia="lv-LV"/>
          <w14:ligatures w14:val="none"/>
        </w:rPr>
      </w:pPr>
      <w:r w:rsidRPr="00F36B06">
        <w:rPr>
          <w:rFonts w:ascii="Times New Roman" w:hAnsi="Times New Roman" w:cs="Times New Roman"/>
        </w:rPr>
        <w:t xml:space="preserve">Kopumā </w:t>
      </w:r>
      <w:r w:rsidR="005F76FB" w:rsidRPr="00F36B06">
        <w:rPr>
          <w:rFonts w:ascii="Times New Roman" w:hAnsi="Times New Roman" w:cs="Times New Roman"/>
        </w:rPr>
        <w:t>maksātnespējas procesos</w:t>
      </w:r>
      <w:r w:rsidR="003A774F" w:rsidRPr="00F36B06">
        <w:rPr>
          <w:rFonts w:ascii="Times New Roman" w:hAnsi="Times New Roman" w:cs="Times New Roman"/>
        </w:rPr>
        <w:t>, kuros celtas zaudējumu atlīdzības prasības</w:t>
      </w:r>
      <w:r w:rsidR="00EE32C7" w:rsidRPr="00F36B06">
        <w:rPr>
          <w:rFonts w:ascii="Times New Roman" w:hAnsi="Times New Roman" w:cs="Times New Roman"/>
        </w:rPr>
        <w:t>, atzīto kredit</w:t>
      </w:r>
      <w:r w:rsidR="00145E8A" w:rsidRPr="00F36B06">
        <w:rPr>
          <w:rFonts w:ascii="Times New Roman" w:hAnsi="Times New Roman" w:cs="Times New Roman"/>
        </w:rPr>
        <w:t xml:space="preserve">oru prasījumu apmērs </w:t>
      </w:r>
      <w:r w:rsidR="00DF061D" w:rsidRPr="00F36B06">
        <w:rPr>
          <w:rFonts w:ascii="Times New Roman" w:hAnsi="Times New Roman" w:cs="Times New Roman"/>
        </w:rPr>
        <w:t xml:space="preserve">ir </w:t>
      </w:r>
      <w:r w:rsidR="009C1291" w:rsidRPr="00F36B06">
        <w:rPr>
          <w:rFonts w:ascii="Times New Roman" w:eastAsia="Times New Roman" w:hAnsi="Times New Roman" w:cs="Times New Roman"/>
          <w:color w:val="000000"/>
          <w:kern w:val="0"/>
          <w:lang w:eastAsia="lv-LV"/>
          <w14:ligatures w14:val="none"/>
        </w:rPr>
        <w:t>25 195 282</w:t>
      </w:r>
      <w:r w:rsidR="00330728" w:rsidRPr="00F36B06">
        <w:rPr>
          <w:rFonts w:ascii="Times New Roman" w:eastAsia="Times New Roman" w:hAnsi="Times New Roman" w:cs="Times New Roman"/>
          <w:color w:val="000000"/>
          <w:kern w:val="0"/>
          <w:lang w:eastAsia="lv-LV"/>
          <w14:ligatures w14:val="none"/>
        </w:rPr>
        <w:t> </w:t>
      </w:r>
      <w:proofErr w:type="spellStart"/>
      <w:r w:rsidR="00F47B75" w:rsidRPr="00F36B06">
        <w:rPr>
          <w:rFonts w:ascii="Times New Roman" w:eastAsia="Times New Roman" w:hAnsi="Times New Roman" w:cs="Times New Roman"/>
          <w:i/>
          <w:iCs/>
          <w:color w:val="000000"/>
          <w:kern w:val="0"/>
          <w:lang w:eastAsia="lv-LV"/>
          <w14:ligatures w14:val="none"/>
        </w:rPr>
        <w:t>euro</w:t>
      </w:r>
      <w:proofErr w:type="spellEnd"/>
      <w:r w:rsidR="00FC62D1" w:rsidRPr="00F36B06">
        <w:rPr>
          <w:rFonts w:ascii="Times New Roman" w:eastAsia="Times New Roman" w:hAnsi="Times New Roman" w:cs="Times New Roman"/>
          <w:color w:val="000000"/>
          <w:kern w:val="0"/>
          <w:lang w:eastAsia="lv-LV"/>
          <w14:ligatures w14:val="none"/>
        </w:rPr>
        <w:t xml:space="preserve">, bet kopējais apmierināto prasījumu apmērs šajos procesos </w:t>
      </w:r>
      <w:r w:rsidR="00DF061D" w:rsidRPr="00F36B06">
        <w:rPr>
          <w:rFonts w:ascii="Times New Roman" w:eastAsia="Times New Roman" w:hAnsi="Times New Roman" w:cs="Times New Roman"/>
          <w:color w:val="000000"/>
          <w:kern w:val="0"/>
          <w:lang w:eastAsia="lv-LV"/>
          <w14:ligatures w14:val="none"/>
        </w:rPr>
        <w:t xml:space="preserve">ir </w:t>
      </w:r>
      <w:r w:rsidR="00AE58DD" w:rsidRPr="00F36B06">
        <w:rPr>
          <w:rFonts w:ascii="Times New Roman" w:eastAsia="Times New Roman" w:hAnsi="Times New Roman" w:cs="Times New Roman"/>
          <w:color w:val="000000"/>
          <w:kern w:val="0"/>
          <w:lang w:eastAsia="lv-LV"/>
          <w14:ligatures w14:val="none"/>
        </w:rPr>
        <w:t>236 604</w:t>
      </w:r>
      <w:r w:rsidR="00330728" w:rsidRPr="00F36B06">
        <w:rPr>
          <w:rFonts w:ascii="Times New Roman" w:eastAsia="Times New Roman" w:hAnsi="Times New Roman" w:cs="Times New Roman"/>
          <w:color w:val="000000"/>
          <w:kern w:val="0"/>
          <w:lang w:eastAsia="lv-LV"/>
          <w14:ligatures w14:val="none"/>
        </w:rPr>
        <w:t> </w:t>
      </w:r>
      <w:proofErr w:type="spellStart"/>
      <w:r w:rsidR="00184FE1" w:rsidRPr="00F36B06">
        <w:rPr>
          <w:rFonts w:ascii="Times New Roman" w:eastAsia="Times New Roman" w:hAnsi="Times New Roman" w:cs="Times New Roman"/>
          <w:i/>
          <w:iCs/>
          <w:color w:val="000000"/>
          <w:kern w:val="0"/>
          <w:lang w:eastAsia="lv-LV"/>
          <w14:ligatures w14:val="none"/>
        </w:rPr>
        <w:t>euro</w:t>
      </w:r>
      <w:proofErr w:type="spellEnd"/>
      <w:r w:rsidR="00184FE1" w:rsidRPr="00F36B06">
        <w:rPr>
          <w:rFonts w:ascii="Times New Roman" w:eastAsia="Times New Roman" w:hAnsi="Times New Roman" w:cs="Times New Roman"/>
          <w:i/>
          <w:iCs/>
          <w:color w:val="000000"/>
          <w:kern w:val="0"/>
          <w:lang w:eastAsia="lv-LV"/>
          <w14:ligatures w14:val="none"/>
        </w:rPr>
        <w:t xml:space="preserve">. </w:t>
      </w:r>
      <w:r w:rsidR="00184FE1" w:rsidRPr="00F36B06">
        <w:rPr>
          <w:rFonts w:ascii="Times New Roman" w:eastAsia="Times New Roman" w:hAnsi="Times New Roman" w:cs="Times New Roman"/>
          <w:color w:val="000000"/>
          <w:kern w:val="0"/>
          <w:lang w:eastAsia="lv-LV"/>
          <w14:ligatures w14:val="none"/>
        </w:rPr>
        <w:t xml:space="preserve">Līdz ar to </w:t>
      </w:r>
      <w:r w:rsidR="00CA4242" w:rsidRPr="00F36B06">
        <w:rPr>
          <w:rFonts w:ascii="Times New Roman" w:eastAsia="Times New Roman" w:hAnsi="Times New Roman" w:cs="Times New Roman"/>
          <w:color w:val="000000"/>
          <w:kern w:val="0"/>
          <w:lang w:eastAsia="lv-LV"/>
          <w14:ligatures w14:val="none"/>
        </w:rPr>
        <w:t>kopumā šajos procesos</w:t>
      </w:r>
      <w:r w:rsidR="00754E5C" w:rsidRPr="00F36B06">
        <w:rPr>
          <w:rFonts w:ascii="Times New Roman" w:eastAsia="Times New Roman" w:hAnsi="Times New Roman" w:cs="Times New Roman"/>
          <w:color w:val="000000"/>
          <w:kern w:val="0"/>
          <w:lang w:eastAsia="lv-LV"/>
          <w14:ligatures w14:val="none"/>
        </w:rPr>
        <w:t xml:space="preserve"> </w:t>
      </w:r>
      <w:r w:rsidR="00EA461C" w:rsidRPr="00F36B06">
        <w:rPr>
          <w:rFonts w:ascii="Times New Roman" w:eastAsia="Times New Roman" w:hAnsi="Times New Roman" w:cs="Times New Roman"/>
          <w:color w:val="000000"/>
          <w:kern w:val="0"/>
          <w:lang w:eastAsia="lv-LV"/>
          <w14:ligatures w14:val="none"/>
        </w:rPr>
        <w:t xml:space="preserve">kreditori ir zaudējuši </w:t>
      </w:r>
      <w:r w:rsidR="005C6A36" w:rsidRPr="00F36B06">
        <w:rPr>
          <w:rFonts w:ascii="Times New Roman" w:eastAsia="Times New Roman" w:hAnsi="Times New Roman" w:cs="Times New Roman"/>
          <w:color w:val="000000"/>
          <w:kern w:val="0"/>
          <w:lang w:eastAsia="lv-LV"/>
          <w14:ligatures w14:val="none"/>
        </w:rPr>
        <w:t>24 958 67</w:t>
      </w:r>
      <w:r w:rsidR="00B73249">
        <w:rPr>
          <w:rFonts w:ascii="Times New Roman" w:eastAsia="Times New Roman" w:hAnsi="Times New Roman" w:cs="Times New Roman"/>
          <w:color w:val="000000"/>
          <w:kern w:val="0"/>
          <w:lang w:eastAsia="lv-LV"/>
          <w14:ligatures w14:val="none"/>
        </w:rPr>
        <w:t>8</w:t>
      </w:r>
      <w:r w:rsidR="00330728" w:rsidRPr="00F36B06">
        <w:rPr>
          <w:rFonts w:ascii="Times New Roman" w:eastAsia="Times New Roman" w:hAnsi="Times New Roman" w:cs="Times New Roman"/>
          <w:color w:val="000000"/>
          <w:kern w:val="0"/>
          <w:lang w:eastAsia="lv-LV"/>
          <w14:ligatures w14:val="none"/>
        </w:rPr>
        <w:t> </w:t>
      </w:r>
      <w:proofErr w:type="spellStart"/>
      <w:r w:rsidR="00361A26" w:rsidRPr="00F36B06">
        <w:rPr>
          <w:rFonts w:ascii="Times New Roman" w:eastAsia="Times New Roman" w:hAnsi="Times New Roman" w:cs="Times New Roman"/>
          <w:i/>
          <w:iCs/>
          <w:color w:val="000000"/>
          <w:kern w:val="0"/>
          <w:lang w:eastAsia="lv-LV"/>
          <w14:ligatures w14:val="none"/>
        </w:rPr>
        <w:t>euro</w:t>
      </w:r>
      <w:proofErr w:type="spellEnd"/>
      <w:r w:rsidR="000717F4" w:rsidRPr="00F36B06">
        <w:rPr>
          <w:rFonts w:ascii="Times New Roman" w:eastAsia="Times New Roman" w:hAnsi="Times New Roman" w:cs="Times New Roman"/>
          <w:i/>
          <w:iCs/>
          <w:color w:val="000000"/>
          <w:kern w:val="0"/>
          <w:lang w:eastAsia="lv-LV"/>
          <w14:ligatures w14:val="none"/>
        </w:rPr>
        <w:t xml:space="preserve">. </w:t>
      </w:r>
      <w:r w:rsidR="000717F4" w:rsidRPr="00F36B06">
        <w:rPr>
          <w:rFonts w:ascii="Times New Roman" w:eastAsia="Times New Roman" w:hAnsi="Times New Roman" w:cs="Times New Roman"/>
          <w:color w:val="000000"/>
          <w:kern w:val="0"/>
          <w:lang w:eastAsia="lv-LV"/>
          <w14:ligatures w14:val="none"/>
        </w:rPr>
        <w:t xml:space="preserve">Savukārt starpība starp tiesas atzīto </w:t>
      </w:r>
      <w:bookmarkStart w:id="11" w:name="_Hlk190552845"/>
      <w:r w:rsidR="0056046F" w:rsidRPr="00F36B06">
        <w:rPr>
          <w:rFonts w:ascii="Times New Roman" w:eastAsia="Times New Roman" w:hAnsi="Times New Roman" w:cs="Times New Roman"/>
          <w:color w:val="000000"/>
          <w:kern w:val="0"/>
          <w:lang w:eastAsia="lv-LV"/>
          <w14:ligatures w14:val="none"/>
        </w:rPr>
        <w:t xml:space="preserve">valdes locekļu </w:t>
      </w:r>
      <w:r w:rsidR="00B7613D" w:rsidRPr="00F36B06">
        <w:rPr>
          <w:rFonts w:ascii="Times New Roman" w:eastAsia="Times New Roman" w:hAnsi="Times New Roman" w:cs="Times New Roman"/>
          <w:color w:val="000000"/>
          <w:kern w:val="0"/>
          <w:lang w:eastAsia="lv-LV"/>
          <w14:ligatures w14:val="none"/>
        </w:rPr>
        <w:t xml:space="preserve">un dalībnieku </w:t>
      </w:r>
      <w:bookmarkEnd w:id="11"/>
      <w:r w:rsidR="00B7613D" w:rsidRPr="00F36B06">
        <w:rPr>
          <w:rFonts w:ascii="Times New Roman" w:eastAsia="Times New Roman" w:hAnsi="Times New Roman" w:cs="Times New Roman"/>
          <w:color w:val="000000"/>
          <w:kern w:val="0"/>
          <w:lang w:eastAsia="lv-LV"/>
          <w14:ligatures w14:val="none"/>
        </w:rPr>
        <w:t xml:space="preserve">parādniekam nodarīto </w:t>
      </w:r>
      <w:r w:rsidR="000717F4" w:rsidRPr="00F36B06">
        <w:rPr>
          <w:rFonts w:ascii="Times New Roman" w:eastAsia="Times New Roman" w:hAnsi="Times New Roman" w:cs="Times New Roman"/>
          <w:color w:val="000000"/>
          <w:kern w:val="0"/>
          <w:lang w:eastAsia="lv-LV"/>
          <w14:ligatures w14:val="none"/>
        </w:rPr>
        <w:t>zaudē</w:t>
      </w:r>
      <w:r w:rsidR="0056046F" w:rsidRPr="00F36B06">
        <w:rPr>
          <w:rFonts w:ascii="Times New Roman" w:eastAsia="Times New Roman" w:hAnsi="Times New Roman" w:cs="Times New Roman"/>
          <w:color w:val="000000"/>
          <w:kern w:val="0"/>
          <w:lang w:eastAsia="lv-LV"/>
          <w14:ligatures w14:val="none"/>
        </w:rPr>
        <w:t>jumu</w:t>
      </w:r>
      <w:r w:rsidR="00B7613D" w:rsidRPr="00F36B06">
        <w:rPr>
          <w:rFonts w:ascii="Times New Roman" w:eastAsia="Times New Roman" w:hAnsi="Times New Roman" w:cs="Times New Roman"/>
          <w:color w:val="000000"/>
          <w:kern w:val="0"/>
          <w:lang w:eastAsia="lv-LV"/>
          <w14:ligatures w14:val="none"/>
        </w:rPr>
        <w:t xml:space="preserve"> apmēru</w:t>
      </w:r>
      <w:r w:rsidR="0003593F" w:rsidRPr="00F36B06">
        <w:rPr>
          <w:rFonts w:ascii="Times New Roman" w:eastAsia="Times New Roman" w:hAnsi="Times New Roman" w:cs="Times New Roman"/>
          <w:color w:val="000000"/>
          <w:kern w:val="0"/>
          <w:lang w:eastAsia="lv-LV"/>
          <w14:ligatures w14:val="none"/>
        </w:rPr>
        <w:t xml:space="preserve"> (</w:t>
      </w:r>
      <w:r w:rsidR="008A0359" w:rsidRPr="00F36B06">
        <w:rPr>
          <w:rFonts w:ascii="Times New Roman" w:eastAsia="Times New Roman" w:hAnsi="Times New Roman" w:cs="Times New Roman"/>
          <w:color w:val="000000"/>
          <w:kern w:val="0"/>
          <w:lang w:eastAsia="lv-LV"/>
          <w14:ligatures w14:val="none"/>
        </w:rPr>
        <w:t>9 232 582</w:t>
      </w:r>
      <w:r w:rsidR="00A81DA6" w:rsidRPr="00F36B06">
        <w:rPr>
          <w:rFonts w:ascii="Times New Roman" w:eastAsia="Times New Roman" w:hAnsi="Times New Roman" w:cs="Times New Roman"/>
          <w:color w:val="000000"/>
          <w:kern w:val="0"/>
          <w:lang w:eastAsia="lv-LV"/>
          <w14:ligatures w14:val="none"/>
        </w:rPr>
        <w:t> </w:t>
      </w:r>
      <w:proofErr w:type="spellStart"/>
      <w:r w:rsidR="0003593F" w:rsidRPr="00F36B06">
        <w:rPr>
          <w:rFonts w:ascii="Times New Roman" w:eastAsia="Times New Roman" w:hAnsi="Times New Roman" w:cs="Times New Roman"/>
          <w:i/>
          <w:iCs/>
          <w:color w:val="000000"/>
          <w:kern w:val="0"/>
          <w:lang w:eastAsia="lv-LV"/>
          <w14:ligatures w14:val="none"/>
        </w:rPr>
        <w:t>euro</w:t>
      </w:r>
      <w:proofErr w:type="spellEnd"/>
      <w:r w:rsidR="0003593F" w:rsidRPr="00F36B06">
        <w:rPr>
          <w:rFonts w:ascii="Times New Roman" w:eastAsia="Times New Roman" w:hAnsi="Times New Roman" w:cs="Times New Roman"/>
          <w:color w:val="000000"/>
          <w:kern w:val="0"/>
          <w:lang w:eastAsia="lv-LV"/>
          <w14:ligatures w14:val="none"/>
        </w:rPr>
        <w:t xml:space="preserve">) </w:t>
      </w:r>
      <w:r w:rsidR="00B7613D" w:rsidRPr="00F36B06">
        <w:rPr>
          <w:rFonts w:ascii="Times New Roman" w:eastAsia="Times New Roman" w:hAnsi="Times New Roman" w:cs="Times New Roman"/>
          <w:color w:val="000000"/>
          <w:kern w:val="0"/>
          <w:lang w:eastAsia="lv-LV"/>
          <w14:ligatures w14:val="none"/>
        </w:rPr>
        <w:t xml:space="preserve">un </w:t>
      </w:r>
      <w:r w:rsidR="00D772A3" w:rsidRPr="00F36B06">
        <w:rPr>
          <w:rFonts w:ascii="Times New Roman" w:eastAsia="Times New Roman" w:hAnsi="Times New Roman" w:cs="Times New Roman"/>
          <w:color w:val="000000"/>
          <w:kern w:val="0"/>
          <w:lang w:eastAsia="lv-LV"/>
          <w14:ligatures w14:val="none"/>
        </w:rPr>
        <w:t xml:space="preserve">faktiski atgūto summu </w:t>
      </w:r>
      <w:r w:rsidR="00381821" w:rsidRPr="00F36B06">
        <w:rPr>
          <w:rFonts w:ascii="Times New Roman" w:eastAsia="Times New Roman" w:hAnsi="Times New Roman" w:cs="Times New Roman"/>
          <w:color w:val="000000"/>
          <w:kern w:val="0"/>
          <w:lang w:eastAsia="lv-LV"/>
          <w14:ligatures w14:val="none"/>
        </w:rPr>
        <w:t>(</w:t>
      </w:r>
      <w:r w:rsidR="00981CFB" w:rsidRPr="00F36B06">
        <w:rPr>
          <w:rFonts w:ascii="Times New Roman" w:eastAsia="Times New Roman" w:hAnsi="Times New Roman" w:cs="Times New Roman"/>
          <w:color w:val="000000"/>
          <w:kern w:val="0"/>
          <w:lang w:eastAsia="lv-LV"/>
          <w14:ligatures w14:val="none"/>
        </w:rPr>
        <w:t>200 430</w:t>
      </w:r>
      <w:r w:rsidR="00CC3390" w:rsidRPr="00F36B06">
        <w:rPr>
          <w:rFonts w:ascii="Times New Roman" w:eastAsia="Times New Roman" w:hAnsi="Times New Roman" w:cs="Times New Roman"/>
          <w:color w:val="000000"/>
          <w:kern w:val="0"/>
          <w:lang w:eastAsia="lv-LV"/>
          <w14:ligatures w14:val="none"/>
        </w:rPr>
        <w:t> </w:t>
      </w:r>
      <w:proofErr w:type="spellStart"/>
      <w:r w:rsidR="00381821" w:rsidRPr="00F36B06">
        <w:rPr>
          <w:rFonts w:ascii="Times New Roman" w:eastAsia="Times New Roman" w:hAnsi="Times New Roman" w:cs="Times New Roman"/>
          <w:i/>
          <w:iCs/>
          <w:color w:val="000000"/>
          <w:kern w:val="0"/>
          <w:lang w:eastAsia="lv-LV"/>
          <w14:ligatures w14:val="none"/>
        </w:rPr>
        <w:t>euro</w:t>
      </w:r>
      <w:proofErr w:type="spellEnd"/>
      <w:r w:rsidR="00381821" w:rsidRPr="00F36B06">
        <w:rPr>
          <w:rFonts w:ascii="Times New Roman" w:eastAsia="Times New Roman" w:hAnsi="Times New Roman" w:cs="Times New Roman"/>
          <w:color w:val="000000"/>
          <w:kern w:val="0"/>
          <w:lang w:eastAsia="lv-LV"/>
          <w14:ligatures w14:val="none"/>
        </w:rPr>
        <w:t>)</w:t>
      </w:r>
      <w:r w:rsidR="00DA4672" w:rsidRPr="00F36B06">
        <w:rPr>
          <w:rFonts w:ascii="Times New Roman" w:eastAsia="Times New Roman" w:hAnsi="Times New Roman" w:cs="Times New Roman"/>
          <w:color w:val="000000"/>
          <w:kern w:val="0"/>
          <w:lang w:eastAsia="lv-LV"/>
          <w14:ligatures w14:val="none"/>
        </w:rPr>
        <w:t xml:space="preserve"> </w:t>
      </w:r>
      <w:r w:rsidR="00DF061D" w:rsidRPr="00F36B06">
        <w:rPr>
          <w:rFonts w:ascii="Times New Roman" w:eastAsia="Times New Roman" w:hAnsi="Times New Roman" w:cs="Times New Roman"/>
          <w:color w:val="000000"/>
          <w:kern w:val="0"/>
          <w:lang w:eastAsia="lv-LV"/>
          <w14:ligatures w14:val="none"/>
        </w:rPr>
        <w:t>ir</w:t>
      </w:r>
      <w:r w:rsidR="00183E21" w:rsidRPr="00F36B06">
        <w:rPr>
          <w:rFonts w:ascii="Times New Roman" w:eastAsia="Times New Roman" w:hAnsi="Times New Roman" w:cs="Times New Roman"/>
          <w:color w:val="000000"/>
          <w:kern w:val="0"/>
          <w:lang w:eastAsia="lv-LV"/>
          <w14:ligatures w14:val="none"/>
        </w:rPr>
        <w:t xml:space="preserve"> </w:t>
      </w:r>
      <w:r w:rsidR="00A07E2F" w:rsidRPr="00F36B06">
        <w:rPr>
          <w:rFonts w:ascii="Times New Roman" w:eastAsia="Times New Roman" w:hAnsi="Times New Roman" w:cs="Times New Roman"/>
          <w:color w:val="000000"/>
          <w:kern w:val="0"/>
          <w:lang w:eastAsia="lv-LV"/>
          <w14:ligatures w14:val="none"/>
        </w:rPr>
        <w:t>9 032 152</w:t>
      </w:r>
      <w:r w:rsidR="004210A8" w:rsidRPr="00F36B06">
        <w:rPr>
          <w:rFonts w:ascii="Times New Roman" w:eastAsia="Times New Roman" w:hAnsi="Times New Roman" w:cs="Times New Roman"/>
          <w:color w:val="000000"/>
          <w:kern w:val="0"/>
          <w:lang w:eastAsia="lv-LV"/>
          <w14:ligatures w14:val="none"/>
        </w:rPr>
        <w:t> </w:t>
      </w:r>
      <w:proofErr w:type="spellStart"/>
      <w:r w:rsidR="00CE3A2C" w:rsidRPr="00F36B06">
        <w:rPr>
          <w:rFonts w:ascii="Times New Roman" w:eastAsia="Times New Roman" w:hAnsi="Times New Roman" w:cs="Times New Roman"/>
          <w:i/>
          <w:iCs/>
          <w:color w:val="000000"/>
          <w:kern w:val="0"/>
          <w:lang w:eastAsia="lv-LV"/>
          <w14:ligatures w14:val="none"/>
        </w:rPr>
        <w:t>euro</w:t>
      </w:r>
      <w:proofErr w:type="spellEnd"/>
      <w:r w:rsidR="00F37223" w:rsidRPr="00F36B06">
        <w:rPr>
          <w:rFonts w:ascii="Times New Roman" w:eastAsia="Times New Roman" w:hAnsi="Times New Roman" w:cs="Times New Roman"/>
          <w:color w:val="000000"/>
          <w:kern w:val="0"/>
          <w:lang w:eastAsia="lv-LV"/>
          <w14:ligatures w14:val="none"/>
        </w:rPr>
        <w:t>, kas nozīmē, ka</w:t>
      </w:r>
      <w:r w:rsidR="00C57B59" w:rsidRPr="00F36B06">
        <w:rPr>
          <w:rFonts w:ascii="Times New Roman" w:eastAsia="Times New Roman" w:hAnsi="Times New Roman" w:cs="Times New Roman"/>
          <w:color w:val="000000"/>
          <w:kern w:val="0"/>
          <w:lang w:eastAsia="lv-LV"/>
          <w14:ligatures w14:val="none"/>
        </w:rPr>
        <w:t xml:space="preserve"> valdes locekļi un dalībnieki</w:t>
      </w:r>
      <w:r w:rsidR="00E31AA8" w:rsidRPr="00F36B06">
        <w:rPr>
          <w:rFonts w:ascii="Times New Roman" w:eastAsia="Times New Roman" w:hAnsi="Times New Roman" w:cs="Times New Roman"/>
          <w:color w:val="000000"/>
          <w:kern w:val="0"/>
          <w:lang w:eastAsia="lv-LV"/>
          <w14:ligatures w14:val="none"/>
        </w:rPr>
        <w:t xml:space="preserve"> faktiski ir seguši tikai</w:t>
      </w:r>
      <w:r w:rsidR="0066405C" w:rsidRPr="00F36B06">
        <w:rPr>
          <w:rFonts w:ascii="Times New Roman" w:eastAsia="Times New Roman" w:hAnsi="Times New Roman" w:cs="Times New Roman"/>
          <w:color w:val="000000"/>
          <w:kern w:val="0"/>
          <w:lang w:eastAsia="lv-LV"/>
          <w14:ligatures w14:val="none"/>
        </w:rPr>
        <w:t xml:space="preserve"> </w:t>
      </w:r>
      <w:r w:rsidR="009F4E5F" w:rsidRPr="00F36B06">
        <w:rPr>
          <w:rFonts w:ascii="Times New Roman" w:eastAsia="Times New Roman" w:hAnsi="Times New Roman" w:cs="Times New Roman"/>
          <w:color w:val="000000"/>
          <w:kern w:val="0"/>
          <w:lang w:eastAsia="lv-LV"/>
          <w14:ligatures w14:val="none"/>
        </w:rPr>
        <w:t>2,17</w:t>
      </w:r>
      <w:r w:rsidR="00132355" w:rsidRPr="00F36B06">
        <w:rPr>
          <w:rFonts w:ascii="Times New Roman" w:eastAsia="Times New Roman" w:hAnsi="Times New Roman" w:cs="Times New Roman"/>
          <w:color w:val="000000"/>
          <w:kern w:val="0"/>
          <w:lang w:eastAsia="lv-LV"/>
          <w14:ligatures w14:val="none"/>
        </w:rPr>
        <w:t> </w:t>
      </w:r>
      <w:r w:rsidR="00CA59F7" w:rsidRPr="00F36B06">
        <w:rPr>
          <w:rFonts w:ascii="Times New Roman" w:eastAsia="Times New Roman" w:hAnsi="Times New Roman" w:cs="Times New Roman"/>
          <w:color w:val="000000"/>
          <w:kern w:val="0"/>
          <w:lang w:eastAsia="lv-LV"/>
          <w14:ligatures w14:val="none"/>
        </w:rPr>
        <w:t>%</w:t>
      </w:r>
      <w:r w:rsidR="00E31AA8" w:rsidRPr="00F36B06">
        <w:rPr>
          <w:rFonts w:ascii="Times New Roman" w:eastAsia="Times New Roman" w:hAnsi="Times New Roman" w:cs="Times New Roman"/>
          <w:color w:val="000000"/>
          <w:kern w:val="0"/>
          <w:lang w:eastAsia="lv-LV"/>
          <w14:ligatures w14:val="none"/>
        </w:rPr>
        <w:t xml:space="preserve"> no viņu nodarīt</w:t>
      </w:r>
      <w:r w:rsidR="00EE0DF3" w:rsidRPr="00F36B06">
        <w:rPr>
          <w:rFonts w:ascii="Times New Roman" w:eastAsia="Times New Roman" w:hAnsi="Times New Roman" w:cs="Times New Roman"/>
          <w:color w:val="000000"/>
          <w:kern w:val="0"/>
          <w:lang w:eastAsia="lv-LV"/>
          <w14:ligatures w14:val="none"/>
        </w:rPr>
        <w:t xml:space="preserve">ā </w:t>
      </w:r>
      <w:r w:rsidR="00DE736B" w:rsidRPr="00F36B06">
        <w:rPr>
          <w:rFonts w:ascii="Times New Roman" w:eastAsia="Times New Roman" w:hAnsi="Times New Roman" w:cs="Times New Roman"/>
          <w:color w:val="000000"/>
          <w:kern w:val="0"/>
          <w:lang w:eastAsia="lv-LV"/>
          <w14:ligatures w14:val="none"/>
        </w:rPr>
        <w:t>kaitējuma</w:t>
      </w:r>
      <w:r w:rsidR="00143326" w:rsidRPr="00F36B06">
        <w:rPr>
          <w:rFonts w:ascii="Times New Roman" w:eastAsia="Times New Roman" w:hAnsi="Times New Roman" w:cs="Times New Roman"/>
          <w:color w:val="000000"/>
          <w:kern w:val="0"/>
          <w:lang w:eastAsia="lv-LV"/>
          <w14:ligatures w14:val="none"/>
        </w:rPr>
        <w:t xml:space="preserve"> (2. tabula)</w:t>
      </w:r>
      <w:r w:rsidR="00CA59F7" w:rsidRPr="00F36B06">
        <w:rPr>
          <w:rFonts w:ascii="Times New Roman" w:eastAsia="Times New Roman" w:hAnsi="Times New Roman" w:cs="Times New Roman"/>
          <w:color w:val="000000"/>
          <w:kern w:val="0"/>
          <w:lang w:eastAsia="lv-LV"/>
          <w14:ligatures w14:val="none"/>
        </w:rPr>
        <w:t>.</w:t>
      </w:r>
    </w:p>
    <w:p w14:paraId="2683456E" w14:textId="77777777" w:rsidR="005E6DFF" w:rsidRPr="00F36B06" w:rsidRDefault="005E6DFF" w:rsidP="00A82B1D">
      <w:pPr>
        <w:spacing w:after="0" w:line="240" w:lineRule="auto"/>
        <w:ind w:firstLine="720"/>
        <w:jc w:val="both"/>
        <w:rPr>
          <w:rFonts w:ascii="Times New Roman" w:eastAsia="Times New Roman" w:hAnsi="Times New Roman" w:cs="Times New Roman"/>
          <w:color w:val="000000"/>
          <w:kern w:val="0"/>
          <w:lang w:eastAsia="lv-LV"/>
          <w14:ligatures w14:val="none"/>
        </w:rPr>
      </w:pPr>
    </w:p>
    <w:p w14:paraId="5A5F99B9" w14:textId="7E4F851E" w:rsidR="00BB5A24" w:rsidRPr="00F36B06" w:rsidRDefault="00BB5A24" w:rsidP="00BB5A24">
      <w:pPr>
        <w:pStyle w:val="ListParagraph"/>
        <w:spacing w:after="0" w:line="240" w:lineRule="auto"/>
        <w:ind w:left="420"/>
        <w:jc w:val="right"/>
        <w:rPr>
          <w:rFonts w:ascii="Times New Roman" w:eastAsia="Times New Roman" w:hAnsi="Times New Roman" w:cs="Times New Roman"/>
          <w:i/>
          <w:iCs/>
          <w:color w:val="000000"/>
          <w:kern w:val="0"/>
          <w:lang w:eastAsia="lv-LV"/>
          <w14:ligatures w14:val="none"/>
        </w:rPr>
      </w:pPr>
      <w:r w:rsidRPr="00F36B06">
        <w:rPr>
          <w:rFonts w:ascii="Times New Roman" w:eastAsia="Times New Roman" w:hAnsi="Times New Roman" w:cs="Times New Roman"/>
          <w:i/>
          <w:iCs/>
          <w:color w:val="000000"/>
          <w:kern w:val="0"/>
          <w:lang w:eastAsia="lv-LV"/>
          <w14:ligatures w14:val="none"/>
        </w:rPr>
        <w:t>2. tabula</w:t>
      </w:r>
    </w:p>
    <w:p w14:paraId="58846BFC" w14:textId="406D3CB7" w:rsidR="005E6DFF" w:rsidRPr="00F36B06" w:rsidRDefault="00BB5A24" w:rsidP="00BB5A24">
      <w:pPr>
        <w:spacing w:after="0" w:line="240" w:lineRule="auto"/>
        <w:jc w:val="center"/>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Maksātnespējas procesu</w:t>
      </w:r>
      <w:r w:rsidR="005744C9" w:rsidRPr="00F36B06">
        <w:rPr>
          <w:rFonts w:ascii="Times New Roman" w:eastAsia="Times New Roman" w:hAnsi="Times New Roman" w:cs="Times New Roman"/>
          <w:b/>
          <w:bCs/>
          <w:color w:val="000000"/>
          <w:kern w:val="0"/>
          <w:lang w:eastAsia="lv-LV"/>
          <w14:ligatures w14:val="none"/>
        </w:rPr>
        <w:t xml:space="preserve">, kuros celtas </w:t>
      </w:r>
      <w:r w:rsidR="00520091" w:rsidRPr="00F36B06">
        <w:rPr>
          <w:rFonts w:ascii="Times New Roman" w:eastAsia="Times New Roman" w:hAnsi="Times New Roman" w:cs="Times New Roman"/>
          <w:b/>
          <w:bCs/>
          <w:color w:val="000000"/>
          <w:kern w:val="0"/>
          <w:lang w:eastAsia="lv-LV"/>
          <w14:ligatures w14:val="none"/>
        </w:rPr>
        <w:t>un apmierinātas zaudējumu atlīdzības prasības, rezultatīvie rādītāji</w:t>
      </w:r>
    </w:p>
    <w:p w14:paraId="1A2E42EE" w14:textId="77777777" w:rsidR="005744C9" w:rsidRPr="00F36B06" w:rsidRDefault="005744C9" w:rsidP="00BB5A24">
      <w:pPr>
        <w:spacing w:after="0" w:line="240" w:lineRule="auto"/>
        <w:jc w:val="center"/>
        <w:rPr>
          <w:rFonts w:ascii="Times New Roman" w:eastAsia="Times New Roman" w:hAnsi="Times New Roman" w:cs="Times New Roman"/>
          <w:color w:val="000000"/>
          <w:kern w:val="0"/>
          <w:lang w:eastAsia="lv-LV"/>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0"/>
      </w:tblGrid>
      <w:tr w:rsidR="005E6DFF" w:rsidRPr="00F36B06" w14:paraId="27EEA1EA" w14:textId="77777777" w:rsidTr="007E5732">
        <w:trPr>
          <w:trHeight w:val="340"/>
        </w:trPr>
        <w:tc>
          <w:tcPr>
            <w:tcW w:w="6091" w:type="dxa"/>
            <w:shd w:val="clear" w:color="auto" w:fill="B3E3FA"/>
            <w:noWrap/>
            <w:hideMark/>
          </w:tcPr>
          <w:p w14:paraId="5A9EE490" w14:textId="77777777" w:rsidR="005E6DFF" w:rsidRPr="00F36B06" w:rsidRDefault="005E6DFF" w:rsidP="00DF13E0">
            <w:pPr>
              <w:spacing w:after="0" w:line="240" w:lineRule="auto"/>
              <w:jc w:val="center"/>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Rādītājs</w:t>
            </w:r>
          </w:p>
        </w:tc>
        <w:tc>
          <w:tcPr>
            <w:tcW w:w="3260" w:type="dxa"/>
            <w:shd w:val="clear" w:color="auto" w:fill="B3E3FA"/>
            <w:noWrap/>
            <w:hideMark/>
          </w:tcPr>
          <w:p w14:paraId="1CB35C74" w14:textId="6B3FA574" w:rsidR="005E6DFF" w:rsidRPr="00F36B06" w:rsidRDefault="005E6DFF" w:rsidP="00DF13E0">
            <w:pPr>
              <w:spacing w:after="0" w:line="240" w:lineRule="auto"/>
              <w:jc w:val="center"/>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Summa (</w:t>
            </w:r>
            <w:proofErr w:type="spellStart"/>
            <w:r w:rsidR="00E110E4" w:rsidRPr="0086488C">
              <w:rPr>
                <w:rFonts w:ascii="Times New Roman" w:eastAsia="Times New Roman" w:hAnsi="Times New Roman" w:cs="Times New Roman"/>
                <w:b/>
                <w:bCs/>
                <w:i/>
                <w:iCs/>
                <w:color w:val="000000"/>
                <w:kern w:val="0"/>
                <w:lang w:eastAsia="lv-LV"/>
                <w14:ligatures w14:val="none"/>
              </w:rPr>
              <w:t>euro</w:t>
            </w:r>
            <w:proofErr w:type="spellEnd"/>
            <w:r w:rsidRPr="00F36B06">
              <w:rPr>
                <w:rFonts w:ascii="Times New Roman" w:eastAsia="Times New Roman" w:hAnsi="Times New Roman" w:cs="Times New Roman"/>
                <w:b/>
                <w:bCs/>
                <w:color w:val="000000"/>
                <w:kern w:val="0"/>
                <w:lang w:eastAsia="lv-LV"/>
                <w14:ligatures w14:val="none"/>
              </w:rPr>
              <w:t>)</w:t>
            </w:r>
          </w:p>
        </w:tc>
      </w:tr>
      <w:tr w:rsidR="005E6DFF" w:rsidRPr="00F36B06" w14:paraId="3DCE3B14" w14:textId="77777777" w:rsidTr="00311FB5">
        <w:trPr>
          <w:trHeight w:val="340"/>
        </w:trPr>
        <w:tc>
          <w:tcPr>
            <w:tcW w:w="6091" w:type="dxa"/>
            <w:noWrap/>
            <w:vAlign w:val="bottom"/>
            <w:hideMark/>
          </w:tcPr>
          <w:p w14:paraId="08C64456" w14:textId="77777777" w:rsidR="005E6DFF" w:rsidRPr="00F36B06" w:rsidRDefault="005E6DFF" w:rsidP="00E12904">
            <w:pPr>
              <w:spacing w:after="0" w:line="240" w:lineRule="auto"/>
              <w:jc w:val="both"/>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Atzītie kreditoru prasījumi</w:t>
            </w:r>
          </w:p>
        </w:tc>
        <w:tc>
          <w:tcPr>
            <w:tcW w:w="3260" w:type="dxa"/>
            <w:noWrap/>
            <w:vAlign w:val="bottom"/>
            <w:hideMark/>
          </w:tcPr>
          <w:p w14:paraId="39383ECE" w14:textId="22473FDA" w:rsidR="005E6DFF" w:rsidRPr="00F36B06" w:rsidRDefault="005E6DFF" w:rsidP="00985221">
            <w:pPr>
              <w:spacing w:after="0" w:line="240" w:lineRule="auto"/>
              <w:ind w:firstLine="578"/>
              <w:jc w:val="right"/>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25</w:t>
            </w:r>
            <w:r w:rsidR="00791F0E"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195</w:t>
            </w:r>
            <w:r w:rsidR="004F586C"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282</w:t>
            </w:r>
          </w:p>
        </w:tc>
      </w:tr>
      <w:tr w:rsidR="005E6DFF" w:rsidRPr="00F36B06" w14:paraId="5273933F" w14:textId="77777777" w:rsidTr="00311FB5">
        <w:trPr>
          <w:trHeight w:val="340"/>
        </w:trPr>
        <w:tc>
          <w:tcPr>
            <w:tcW w:w="6091" w:type="dxa"/>
            <w:noWrap/>
            <w:vAlign w:val="bottom"/>
            <w:hideMark/>
          </w:tcPr>
          <w:p w14:paraId="2BBD4ABB" w14:textId="77777777" w:rsidR="005E6DFF" w:rsidRPr="00F36B06" w:rsidRDefault="005E6DFF" w:rsidP="00E12904">
            <w:pPr>
              <w:spacing w:after="0" w:line="240" w:lineRule="auto"/>
              <w:jc w:val="both"/>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Apmierinātie prasījumi</w:t>
            </w:r>
          </w:p>
        </w:tc>
        <w:tc>
          <w:tcPr>
            <w:tcW w:w="3260" w:type="dxa"/>
            <w:noWrap/>
            <w:vAlign w:val="bottom"/>
            <w:hideMark/>
          </w:tcPr>
          <w:p w14:paraId="17E8A0F5" w14:textId="2775D9F9" w:rsidR="005E6DFF" w:rsidRPr="00F36B06" w:rsidRDefault="005E6DFF" w:rsidP="00985221">
            <w:pPr>
              <w:spacing w:after="0" w:line="240" w:lineRule="auto"/>
              <w:ind w:firstLine="578"/>
              <w:jc w:val="right"/>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236</w:t>
            </w:r>
            <w:r w:rsidR="004F586C"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604</w:t>
            </w:r>
          </w:p>
        </w:tc>
      </w:tr>
      <w:tr w:rsidR="005E6DFF" w:rsidRPr="00F36B06" w14:paraId="1FE0AFBA" w14:textId="77777777" w:rsidTr="00311FB5">
        <w:trPr>
          <w:trHeight w:val="340"/>
        </w:trPr>
        <w:tc>
          <w:tcPr>
            <w:tcW w:w="6091" w:type="dxa"/>
            <w:noWrap/>
            <w:vAlign w:val="bottom"/>
            <w:hideMark/>
          </w:tcPr>
          <w:p w14:paraId="36E4B33A" w14:textId="77777777" w:rsidR="005E6DFF" w:rsidRPr="00F36B06" w:rsidRDefault="005E6DFF" w:rsidP="00E12904">
            <w:pPr>
              <w:spacing w:after="0" w:line="240" w:lineRule="auto"/>
              <w:jc w:val="both"/>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Kopējie kreditoru zaudējumi</w:t>
            </w:r>
          </w:p>
        </w:tc>
        <w:tc>
          <w:tcPr>
            <w:tcW w:w="3260" w:type="dxa"/>
            <w:noWrap/>
            <w:vAlign w:val="bottom"/>
            <w:hideMark/>
          </w:tcPr>
          <w:p w14:paraId="7EBC7BA7" w14:textId="1AA5D493" w:rsidR="005E6DFF" w:rsidRPr="00F36B06" w:rsidRDefault="005E6DFF" w:rsidP="00985221">
            <w:pPr>
              <w:spacing w:after="0" w:line="240" w:lineRule="auto"/>
              <w:ind w:firstLine="578"/>
              <w:jc w:val="right"/>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24</w:t>
            </w:r>
            <w:r w:rsidR="004F586C" w:rsidRPr="00F36B06">
              <w:rPr>
                <w:rFonts w:ascii="Times New Roman" w:eastAsia="Times New Roman" w:hAnsi="Times New Roman" w:cs="Times New Roman"/>
                <w:b/>
                <w:bCs/>
                <w:color w:val="000000"/>
                <w:kern w:val="0"/>
                <w:lang w:eastAsia="lv-LV"/>
                <w14:ligatures w14:val="none"/>
              </w:rPr>
              <w:t> </w:t>
            </w:r>
            <w:r w:rsidRPr="00F36B06">
              <w:rPr>
                <w:rFonts w:ascii="Times New Roman" w:eastAsia="Times New Roman" w:hAnsi="Times New Roman" w:cs="Times New Roman"/>
                <w:b/>
                <w:bCs/>
                <w:color w:val="000000"/>
                <w:kern w:val="0"/>
                <w:lang w:eastAsia="lv-LV"/>
                <w14:ligatures w14:val="none"/>
              </w:rPr>
              <w:t>958</w:t>
            </w:r>
            <w:r w:rsidR="004F586C" w:rsidRPr="00F36B06">
              <w:rPr>
                <w:rFonts w:ascii="Times New Roman" w:eastAsia="Times New Roman" w:hAnsi="Times New Roman" w:cs="Times New Roman"/>
                <w:b/>
                <w:bCs/>
                <w:color w:val="000000"/>
                <w:kern w:val="0"/>
                <w:lang w:eastAsia="lv-LV"/>
                <w14:ligatures w14:val="none"/>
              </w:rPr>
              <w:t> </w:t>
            </w:r>
            <w:r w:rsidRPr="00F36B06">
              <w:rPr>
                <w:rFonts w:ascii="Times New Roman" w:eastAsia="Times New Roman" w:hAnsi="Times New Roman" w:cs="Times New Roman"/>
                <w:b/>
                <w:bCs/>
                <w:color w:val="000000"/>
                <w:kern w:val="0"/>
                <w:lang w:eastAsia="lv-LV"/>
                <w14:ligatures w14:val="none"/>
              </w:rPr>
              <w:t>67</w:t>
            </w:r>
            <w:r w:rsidR="00985221">
              <w:rPr>
                <w:rFonts w:ascii="Times New Roman" w:eastAsia="Times New Roman" w:hAnsi="Times New Roman" w:cs="Times New Roman"/>
                <w:b/>
                <w:bCs/>
                <w:color w:val="000000"/>
                <w:kern w:val="0"/>
                <w:lang w:eastAsia="lv-LV"/>
                <w14:ligatures w14:val="none"/>
              </w:rPr>
              <w:t>8</w:t>
            </w:r>
          </w:p>
        </w:tc>
      </w:tr>
      <w:tr w:rsidR="005E6DFF" w:rsidRPr="00F36B06" w14:paraId="3E48BA38" w14:textId="77777777" w:rsidTr="00311FB5">
        <w:trPr>
          <w:trHeight w:val="340"/>
        </w:trPr>
        <w:tc>
          <w:tcPr>
            <w:tcW w:w="6091" w:type="dxa"/>
            <w:noWrap/>
            <w:vAlign w:val="bottom"/>
            <w:hideMark/>
          </w:tcPr>
          <w:p w14:paraId="09C2485E" w14:textId="77777777" w:rsidR="005E6DFF" w:rsidRPr="00F36B06" w:rsidRDefault="005E6DFF" w:rsidP="00E12904">
            <w:pPr>
              <w:spacing w:after="0" w:line="240" w:lineRule="auto"/>
              <w:jc w:val="both"/>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Tiesas atzītie zaudējumi no valdes/dalībniekiem</w:t>
            </w:r>
          </w:p>
        </w:tc>
        <w:tc>
          <w:tcPr>
            <w:tcW w:w="3260" w:type="dxa"/>
            <w:noWrap/>
            <w:vAlign w:val="bottom"/>
            <w:hideMark/>
          </w:tcPr>
          <w:p w14:paraId="7D5EF0CC" w14:textId="7923C626" w:rsidR="005E6DFF" w:rsidRPr="00F36B06" w:rsidRDefault="005E6DFF" w:rsidP="00985221">
            <w:pPr>
              <w:spacing w:after="0" w:line="240" w:lineRule="auto"/>
              <w:ind w:firstLine="578"/>
              <w:jc w:val="right"/>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9</w:t>
            </w:r>
            <w:r w:rsidR="00791F0E"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232</w:t>
            </w:r>
            <w:r w:rsidR="00791F0E"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582</w:t>
            </w:r>
          </w:p>
        </w:tc>
      </w:tr>
      <w:tr w:rsidR="005E6DFF" w:rsidRPr="00F36B06" w14:paraId="576C1B27" w14:textId="77777777" w:rsidTr="00311FB5">
        <w:trPr>
          <w:trHeight w:val="340"/>
        </w:trPr>
        <w:tc>
          <w:tcPr>
            <w:tcW w:w="6091" w:type="dxa"/>
            <w:noWrap/>
            <w:vAlign w:val="bottom"/>
            <w:hideMark/>
          </w:tcPr>
          <w:p w14:paraId="071CD6C8" w14:textId="77777777" w:rsidR="005E6DFF" w:rsidRPr="00F36B06" w:rsidRDefault="005E6DFF" w:rsidP="00E12904">
            <w:pPr>
              <w:spacing w:after="0" w:line="240" w:lineRule="auto"/>
              <w:jc w:val="both"/>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Faktiski atgūtā summa no valdes/dalībniekiem</w:t>
            </w:r>
          </w:p>
        </w:tc>
        <w:tc>
          <w:tcPr>
            <w:tcW w:w="3260" w:type="dxa"/>
            <w:noWrap/>
            <w:vAlign w:val="bottom"/>
            <w:hideMark/>
          </w:tcPr>
          <w:p w14:paraId="7868615D" w14:textId="2F370F63" w:rsidR="005E6DFF" w:rsidRPr="00F36B06" w:rsidRDefault="005E6DFF" w:rsidP="00985221">
            <w:pPr>
              <w:spacing w:after="0" w:line="240" w:lineRule="auto"/>
              <w:ind w:firstLine="578"/>
              <w:jc w:val="right"/>
              <w:rPr>
                <w:rFonts w:ascii="Times New Roman" w:eastAsia="Times New Roman" w:hAnsi="Times New Roman" w:cs="Times New Roman"/>
                <w:color w:val="000000"/>
                <w:kern w:val="0"/>
                <w:lang w:eastAsia="lv-LV"/>
                <w14:ligatures w14:val="none"/>
              </w:rPr>
            </w:pPr>
            <w:r w:rsidRPr="00F36B06">
              <w:rPr>
                <w:rFonts w:ascii="Times New Roman" w:eastAsia="Times New Roman" w:hAnsi="Times New Roman" w:cs="Times New Roman"/>
                <w:color w:val="000000"/>
                <w:kern w:val="0"/>
                <w:lang w:eastAsia="lv-LV"/>
                <w14:ligatures w14:val="none"/>
              </w:rPr>
              <w:t>200</w:t>
            </w:r>
            <w:r w:rsidR="00791F0E"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430</w:t>
            </w:r>
          </w:p>
        </w:tc>
      </w:tr>
      <w:tr w:rsidR="005E6DFF" w:rsidRPr="00F36B06" w14:paraId="5C4A9E2C" w14:textId="77777777" w:rsidTr="00311FB5">
        <w:trPr>
          <w:trHeight w:val="340"/>
        </w:trPr>
        <w:tc>
          <w:tcPr>
            <w:tcW w:w="6091" w:type="dxa"/>
            <w:noWrap/>
            <w:vAlign w:val="bottom"/>
            <w:hideMark/>
          </w:tcPr>
          <w:p w14:paraId="695A966F" w14:textId="77777777" w:rsidR="005E6DFF" w:rsidRPr="00F36B06" w:rsidRDefault="005E6DFF" w:rsidP="00E12904">
            <w:pPr>
              <w:spacing w:after="0" w:line="240" w:lineRule="auto"/>
              <w:jc w:val="both"/>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Valdes/dalībnieku nesegtie zaudējumi</w:t>
            </w:r>
          </w:p>
        </w:tc>
        <w:tc>
          <w:tcPr>
            <w:tcW w:w="3260" w:type="dxa"/>
            <w:noWrap/>
            <w:vAlign w:val="bottom"/>
            <w:hideMark/>
          </w:tcPr>
          <w:p w14:paraId="534A1669" w14:textId="7A5C80AD" w:rsidR="005E6DFF" w:rsidRPr="00F36B06" w:rsidRDefault="005E6DFF" w:rsidP="00985221">
            <w:pPr>
              <w:spacing w:after="0" w:line="240" w:lineRule="auto"/>
              <w:ind w:firstLine="578"/>
              <w:jc w:val="right"/>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9</w:t>
            </w:r>
            <w:r w:rsidR="00791F0E" w:rsidRPr="00F36B06">
              <w:rPr>
                <w:rFonts w:ascii="Times New Roman" w:eastAsia="Times New Roman" w:hAnsi="Times New Roman" w:cs="Times New Roman"/>
                <w:b/>
                <w:bCs/>
                <w:color w:val="000000"/>
                <w:kern w:val="0"/>
                <w:lang w:eastAsia="lv-LV"/>
                <w14:ligatures w14:val="none"/>
              </w:rPr>
              <w:t> </w:t>
            </w:r>
            <w:r w:rsidRPr="00F36B06">
              <w:rPr>
                <w:rFonts w:ascii="Times New Roman" w:eastAsia="Times New Roman" w:hAnsi="Times New Roman" w:cs="Times New Roman"/>
                <w:b/>
                <w:bCs/>
                <w:color w:val="000000"/>
                <w:kern w:val="0"/>
                <w:lang w:eastAsia="lv-LV"/>
                <w14:ligatures w14:val="none"/>
              </w:rPr>
              <w:t>032</w:t>
            </w:r>
            <w:r w:rsidR="00791F0E" w:rsidRPr="00F36B06">
              <w:rPr>
                <w:rFonts w:ascii="Times New Roman" w:eastAsia="Times New Roman" w:hAnsi="Times New Roman" w:cs="Times New Roman"/>
                <w:b/>
                <w:bCs/>
                <w:color w:val="000000"/>
                <w:kern w:val="0"/>
                <w:lang w:eastAsia="lv-LV"/>
                <w14:ligatures w14:val="none"/>
              </w:rPr>
              <w:t> </w:t>
            </w:r>
            <w:r w:rsidRPr="00F36B06">
              <w:rPr>
                <w:rFonts w:ascii="Times New Roman" w:eastAsia="Times New Roman" w:hAnsi="Times New Roman" w:cs="Times New Roman"/>
                <w:b/>
                <w:bCs/>
                <w:color w:val="000000"/>
                <w:kern w:val="0"/>
                <w:lang w:eastAsia="lv-LV"/>
                <w14:ligatures w14:val="none"/>
              </w:rPr>
              <w:t>152</w:t>
            </w:r>
          </w:p>
        </w:tc>
      </w:tr>
      <w:tr w:rsidR="005E6DFF" w:rsidRPr="00F36B06" w14:paraId="707D9B18" w14:textId="77777777" w:rsidTr="00311FB5">
        <w:trPr>
          <w:trHeight w:val="340"/>
        </w:trPr>
        <w:tc>
          <w:tcPr>
            <w:tcW w:w="6091" w:type="dxa"/>
            <w:noWrap/>
            <w:vAlign w:val="bottom"/>
            <w:hideMark/>
          </w:tcPr>
          <w:p w14:paraId="35A2EAA2" w14:textId="77777777" w:rsidR="005E6DFF" w:rsidRPr="00F36B06" w:rsidRDefault="005E6DFF" w:rsidP="00E12904">
            <w:pPr>
              <w:spacing w:after="0" w:line="240" w:lineRule="auto"/>
              <w:jc w:val="both"/>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Faktiski segtais kaitējums (%)</w:t>
            </w:r>
          </w:p>
        </w:tc>
        <w:tc>
          <w:tcPr>
            <w:tcW w:w="3260" w:type="dxa"/>
            <w:noWrap/>
            <w:vAlign w:val="bottom"/>
            <w:hideMark/>
          </w:tcPr>
          <w:p w14:paraId="46100ADD" w14:textId="77777777" w:rsidR="005E6DFF" w:rsidRPr="00F36B06" w:rsidRDefault="005E6DFF" w:rsidP="00985221">
            <w:pPr>
              <w:spacing w:after="0" w:line="240" w:lineRule="auto"/>
              <w:ind w:firstLine="578"/>
              <w:jc w:val="right"/>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2,17</w:t>
            </w:r>
          </w:p>
        </w:tc>
      </w:tr>
    </w:tbl>
    <w:p w14:paraId="3B91BE27" w14:textId="77777777" w:rsidR="00083903" w:rsidRDefault="00083903" w:rsidP="003605C0">
      <w:pPr>
        <w:spacing w:after="0" w:line="240" w:lineRule="auto"/>
        <w:ind w:firstLine="720"/>
        <w:jc w:val="both"/>
        <w:rPr>
          <w:rFonts w:ascii="Times New Roman" w:hAnsi="Times New Roman" w:cs="Times New Roman"/>
        </w:rPr>
      </w:pPr>
    </w:p>
    <w:p w14:paraId="59191E4E" w14:textId="5B9F6B90" w:rsidR="00A23004" w:rsidRPr="00A23004" w:rsidRDefault="00A23004" w:rsidP="003605C0">
      <w:pPr>
        <w:spacing w:after="0" w:line="240" w:lineRule="auto"/>
        <w:ind w:firstLine="720"/>
        <w:jc w:val="both"/>
        <w:rPr>
          <w:rFonts w:ascii="Times New Roman" w:eastAsia="Times New Roman" w:hAnsi="Times New Roman" w:cs="Times New Roman"/>
          <w:kern w:val="0"/>
          <w:lang w:eastAsia="lv-LV"/>
          <w14:ligatures w14:val="none"/>
        </w:rPr>
      </w:pPr>
      <w:r w:rsidRPr="00E110E4">
        <w:rPr>
          <w:rFonts w:ascii="Times New Roman" w:eastAsia="Times New Roman" w:hAnsi="Times New Roman" w:cs="Times New Roman"/>
          <w:kern w:val="0"/>
          <w:lang w:eastAsia="lv-LV"/>
          <w14:ligatures w14:val="none"/>
        </w:rPr>
        <w:t>Ievērojot minēto, var secināt, ka administratori ir cēluši prasības par dažāda veida zaudējum</w:t>
      </w:r>
      <w:r w:rsidR="00D40AEF" w:rsidRPr="00E110E4">
        <w:rPr>
          <w:rFonts w:ascii="Times New Roman" w:eastAsia="Times New Roman" w:hAnsi="Times New Roman" w:cs="Times New Roman"/>
          <w:kern w:val="0"/>
          <w:lang w:eastAsia="lv-LV"/>
          <w14:ligatures w14:val="none"/>
        </w:rPr>
        <w:t>iem</w:t>
      </w:r>
      <w:r w:rsidRPr="00E110E4">
        <w:rPr>
          <w:rFonts w:ascii="Times New Roman" w:eastAsia="Times New Roman" w:hAnsi="Times New Roman" w:cs="Times New Roman"/>
          <w:kern w:val="0"/>
          <w:lang w:eastAsia="lv-LV"/>
          <w14:ligatures w14:val="none"/>
        </w:rPr>
        <w:t>, tostarp saistībā ar mantas nenodošanu, pamatkapitāla apmaks</w:t>
      </w:r>
      <w:r w:rsidR="00152867" w:rsidRPr="00E110E4">
        <w:rPr>
          <w:rFonts w:ascii="Times New Roman" w:eastAsia="Times New Roman" w:hAnsi="Times New Roman" w:cs="Times New Roman"/>
          <w:kern w:val="0"/>
          <w:lang w:eastAsia="lv-LV"/>
          <w14:ligatures w14:val="none"/>
        </w:rPr>
        <w:t>as neveikšanu</w:t>
      </w:r>
      <w:r w:rsidRPr="00E110E4">
        <w:rPr>
          <w:rFonts w:ascii="Times New Roman" w:eastAsia="Times New Roman" w:hAnsi="Times New Roman" w:cs="Times New Roman"/>
          <w:kern w:val="0"/>
          <w:lang w:eastAsia="lv-LV"/>
          <w14:ligatures w14:val="none"/>
        </w:rPr>
        <w:t>, VID uzrēķiniem, neatmaksātiem aizdevumiem u. c. Tas norāda uz plašu iespējamo</w:t>
      </w:r>
      <w:r w:rsidR="00733AB3" w:rsidRPr="00E110E4">
        <w:rPr>
          <w:rFonts w:ascii="Times New Roman" w:eastAsia="Times New Roman" w:hAnsi="Times New Roman" w:cs="Times New Roman"/>
          <w:kern w:val="0"/>
          <w:lang w:eastAsia="lv-LV"/>
          <w14:ligatures w14:val="none"/>
        </w:rPr>
        <w:t xml:space="preserve"> valdes locekļu</w:t>
      </w:r>
      <w:r w:rsidRPr="00E110E4">
        <w:rPr>
          <w:rFonts w:ascii="Times New Roman" w:eastAsia="Times New Roman" w:hAnsi="Times New Roman" w:cs="Times New Roman"/>
          <w:kern w:val="0"/>
          <w:lang w:eastAsia="lv-LV"/>
          <w14:ligatures w14:val="none"/>
        </w:rPr>
        <w:t xml:space="preserve"> pārkāpumu spektru, kas var radīt būtiskus zaudējumus gan sabiedrībai, gan tās kreditoriem</w:t>
      </w:r>
      <w:r w:rsidR="002661DD" w:rsidRPr="00E110E4">
        <w:rPr>
          <w:rFonts w:ascii="Times New Roman" w:eastAsia="Times New Roman" w:hAnsi="Times New Roman" w:cs="Times New Roman"/>
          <w:kern w:val="0"/>
          <w:lang w:eastAsia="lv-LV"/>
          <w14:ligatures w14:val="none"/>
        </w:rPr>
        <w:t xml:space="preserve">. </w:t>
      </w:r>
      <w:r w:rsidR="00801B42" w:rsidRPr="00E110E4">
        <w:rPr>
          <w:rFonts w:ascii="Times New Roman" w:eastAsia="Times New Roman" w:hAnsi="Times New Roman" w:cs="Times New Roman"/>
          <w:kern w:val="0"/>
          <w:lang w:eastAsia="lv-LV"/>
          <w14:ligatures w14:val="none"/>
        </w:rPr>
        <w:t>Š</w:t>
      </w:r>
      <w:r w:rsidR="000D1361" w:rsidRPr="00E110E4">
        <w:rPr>
          <w:rFonts w:ascii="Times New Roman" w:eastAsia="Times New Roman" w:hAnsi="Times New Roman" w:cs="Times New Roman"/>
          <w:kern w:val="0"/>
          <w:lang w:eastAsia="lv-LV"/>
          <w14:ligatures w14:val="none"/>
        </w:rPr>
        <w:t>ād</w:t>
      </w:r>
      <w:r w:rsidR="00801B42" w:rsidRPr="00E110E4">
        <w:rPr>
          <w:rFonts w:ascii="Times New Roman" w:eastAsia="Times New Roman" w:hAnsi="Times New Roman" w:cs="Times New Roman"/>
          <w:kern w:val="0"/>
          <w:lang w:eastAsia="lv-LV"/>
          <w14:ligatures w14:val="none"/>
        </w:rPr>
        <w:t>os gadījumos</w:t>
      </w:r>
      <w:r w:rsidR="000D1361" w:rsidRPr="00E110E4">
        <w:rPr>
          <w:rFonts w:ascii="Times New Roman" w:eastAsia="Times New Roman" w:hAnsi="Times New Roman" w:cs="Times New Roman"/>
          <w:kern w:val="0"/>
          <w:lang w:eastAsia="lv-LV"/>
          <w14:ligatures w14:val="none"/>
        </w:rPr>
        <w:t xml:space="preserve"> </w:t>
      </w:r>
      <w:r w:rsidR="00866E2E" w:rsidRPr="00E110E4">
        <w:rPr>
          <w:rFonts w:ascii="Times New Roman" w:eastAsia="Times New Roman" w:hAnsi="Times New Roman" w:cs="Times New Roman"/>
          <w:kern w:val="0"/>
          <w:lang w:eastAsia="lv-LV"/>
          <w14:ligatures w14:val="none"/>
        </w:rPr>
        <w:t xml:space="preserve">zaudējumu atlīdzības prasības ir </w:t>
      </w:r>
      <w:r w:rsidR="00801B42" w:rsidRPr="00E110E4">
        <w:rPr>
          <w:rFonts w:ascii="Times New Roman" w:eastAsia="Times New Roman" w:hAnsi="Times New Roman" w:cs="Times New Roman"/>
          <w:kern w:val="0"/>
          <w:lang w:eastAsia="lv-LV"/>
          <w14:ligatures w14:val="none"/>
        </w:rPr>
        <w:t>būtisk</w:t>
      </w:r>
      <w:r w:rsidR="00D1441D" w:rsidRPr="00E110E4">
        <w:rPr>
          <w:rFonts w:ascii="Times New Roman" w:eastAsia="Times New Roman" w:hAnsi="Times New Roman" w:cs="Times New Roman"/>
          <w:kern w:val="0"/>
          <w:lang w:eastAsia="lv-LV"/>
          <w14:ligatures w14:val="none"/>
        </w:rPr>
        <w:t>as</w:t>
      </w:r>
      <w:r w:rsidR="00801B42" w:rsidRPr="00E110E4">
        <w:rPr>
          <w:rFonts w:ascii="Times New Roman" w:eastAsia="Times New Roman" w:hAnsi="Times New Roman" w:cs="Times New Roman"/>
          <w:kern w:val="0"/>
          <w:lang w:eastAsia="lv-LV"/>
          <w14:ligatures w14:val="none"/>
        </w:rPr>
        <w:t xml:space="preserve"> kreditoru interešu aizsardzībai, </w:t>
      </w:r>
      <w:r w:rsidR="00866E2E" w:rsidRPr="00E110E4">
        <w:rPr>
          <w:rFonts w:ascii="Times New Roman" w:eastAsia="Times New Roman" w:hAnsi="Times New Roman" w:cs="Times New Roman"/>
          <w:kern w:val="0"/>
          <w:lang w:eastAsia="lv-LV"/>
          <w14:ligatures w14:val="none"/>
        </w:rPr>
        <w:t xml:space="preserve">lai arī </w:t>
      </w:r>
      <w:r w:rsidR="00801B42" w:rsidRPr="00E110E4">
        <w:rPr>
          <w:rFonts w:ascii="Times New Roman" w:eastAsia="Times New Roman" w:hAnsi="Times New Roman" w:cs="Times New Roman"/>
          <w:kern w:val="0"/>
          <w:lang w:eastAsia="lv-LV"/>
          <w14:ligatures w14:val="none"/>
        </w:rPr>
        <w:t>to praktiskā efektivitāte ir ierobežota</w:t>
      </w:r>
      <w:r w:rsidR="00192CE6" w:rsidRPr="00E110E4">
        <w:rPr>
          <w:rFonts w:ascii="Times New Roman" w:eastAsia="Times New Roman" w:hAnsi="Times New Roman" w:cs="Times New Roman"/>
          <w:kern w:val="0"/>
          <w:lang w:eastAsia="lv-LV"/>
          <w14:ligatures w14:val="none"/>
        </w:rPr>
        <w:t>.</w:t>
      </w:r>
      <w:r w:rsidR="00801B42" w:rsidRPr="00E110E4">
        <w:rPr>
          <w:rFonts w:ascii="Times New Roman" w:eastAsia="Times New Roman" w:hAnsi="Times New Roman" w:cs="Times New Roman"/>
          <w:kern w:val="0"/>
          <w:lang w:eastAsia="lv-LV"/>
          <w14:ligatures w14:val="none"/>
        </w:rPr>
        <w:t xml:space="preserve"> </w:t>
      </w:r>
      <w:r w:rsidRPr="00E110E4">
        <w:rPr>
          <w:rFonts w:ascii="Times New Roman" w:eastAsia="Times New Roman" w:hAnsi="Times New Roman" w:cs="Times New Roman"/>
          <w:kern w:val="0"/>
          <w:lang w:eastAsia="lv-LV"/>
          <w14:ligatures w14:val="none"/>
        </w:rPr>
        <w:t>Šādas prasības ļauj identificēt pārkāpumus, atgūt daļu no parādnieka mantas un veicina valdes locekļu atbildīgu rīcību, kalpojot kā preventīvs mehānisms</w:t>
      </w:r>
      <w:r w:rsidR="00F554B6" w:rsidRPr="00E110E4">
        <w:rPr>
          <w:rFonts w:ascii="Times New Roman" w:eastAsia="Times New Roman" w:hAnsi="Times New Roman" w:cs="Times New Roman"/>
          <w:kern w:val="0"/>
          <w:lang w:eastAsia="lv-LV"/>
          <w14:ligatures w14:val="none"/>
        </w:rPr>
        <w:t xml:space="preserve">. </w:t>
      </w:r>
      <w:r w:rsidR="002C3C37" w:rsidRPr="00E110E4">
        <w:rPr>
          <w:rFonts w:ascii="Times New Roman" w:eastAsia="Times New Roman" w:hAnsi="Times New Roman" w:cs="Times New Roman"/>
          <w:kern w:val="0"/>
          <w:lang w:eastAsia="lv-LV"/>
          <w14:ligatures w14:val="none"/>
        </w:rPr>
        <w:t xml:space="preserve">Līdz ar to </w:t>
      </w:r>
      <w:r w:rsidR="00F97663" w:rsidRPr="00E110E4">
        <w:rPr>
          <w:rFonts w:ascii="Times New Roman" w:eastAsia="Times New Roman" w:hAnsi="Times New Roman" w:cs="Times New Roman"/>
          <w:kern w:val="0"/>
          <w:lang w:eastAsia="lv-LV"/>
          <w14:ligatures w14:val="none"/>
        </w:rPr>
        <w:t xml:space="preserve">jāveicina </w:t>
      </w:r>
      <w:r w:rsidR="009D3E17" w:rsidRPr="00E110E4">
        <w:rPr>
          <w:rFonts w:ascii="Times New Roman" w:eastAsia="Times New Roman" w:hAnsi="Times New Roman" w:cs="Times New Roman"/>
          <w:kern w:val="0"/>
          <w:lang w:eastAsia="lv-LV"/>
          <w14:ligatures w14:val="none"/>
        </w:rPr>
        <w:t>diskusija par</w:t>
      </w:r>
      <w:r w:rsidRPr="00E110E4">
        <w:rPr>
          <w:rFonts w:ascii="Times New Roman" w:eastAsia="Times New Roman" w:hAnsi="Times New Roman" w:cs="Times New Roman"/>
          <w:kern w:val="0"/>
          <w:lang w:eastAsia="lv-LV"/>
          <w14:ligatures w14:val="none"/>
        </w:rPr>
        <w:t xml:space="preserve"> tiesiskā regulējuma pilnveid</w:t>
      </w:r>
      <w:r w:rsidR="009D3E17" w:rsidRPr="00E110E4">
        <w:rPr>
          <w:rFonts w:ascii="Times New Roman" w:eastAsia="Times New Roman" w:hAnsi="Times New Roman" w:cs="Times New Roman"/>
          <w:kern w:val="0"/>
          <w:lang w:eastAsia="lv-LV"/>
          <w14:ligatures w14:val="none"/>
        </w:rPr>
        <w:t>i</w:t>
      </w:r>
      <w:r w:rsidRPr="00E110E4">
        <w:rPr>
          <w:rFonts w:ascii="Times New Roman" w:eastAsia="Times New Roman" w:hAnsi="Times New Roman" w:cs="Times New Roman"/>
          <w:kern w:val="0"/>
          <w:lang w:eastAsia="lv-LV"/>
          <w14:ligatures w14:val="none"/>
        </w:rPr>
        <w:t xml:space="preserve"> var būtiski uzlabot šo prasību lietderību un rezultativitāti.</w:t>
      </w:r>
    </w:p>
    <w:p w14:paraId="523B55E3" w14:textId="634D9CE7" w:rsidR="00875369" w:rsidRPr="00C724A6" w:rsidRDefault="00CC6223" w:rsidP="00C724A6">
      <w:pPr>
        <w:pStyle w:val="Heading2"/>
        <w:jc w:val="center"/>
        <w:rPr>
          <w:rFonts w:ascii="Times New Roman" w:hAnsi="Times New Roman" w:cs="Times New Roman"/>
          <w:b/>
          <w:bCs/>
          <w:sz w:val="24"/>
          <w:szCs w:val="24"/>
        </w:rPr>
      </w:pPr>
      <w:r w:rsidRPr="00F36B06">
        <w:br w:type="page"/>
      </w:r>
    </w:p>
    <w:p w14:paraId="7C10331E" w14:textId="33892B07" w:rsidR="007E5732" w:rsidRDefault="007E5732" w:rsidP="009D295A">
      <w:pPr>
        <w:spacing w:after="0" w:line="240" w:lineRule="auto"/>
        <w:ind w:firstLine="720"/>
        <w:jc w:val="both"/>
        <w:rPr>
          <w:rFonts w:ascii="Times New Roman" w:hAnsi="Times New Roman" w:cs="Times New Roman"/>
        </w:rPr>
      </w:pPr>
      <w:r>
        <w:rPr>
          <w:noProof/>
        </w:rPr>
        <w:lastRenderedPageBreak/>
        <mc:AlternateContent>
          <mc:Choice Requires="wps">
            <w:drawing>
              <wp:anchor distT="0" distB="0" distL="114300" distR="114300" simplePos="0" relativeHeight="251672576" behindDoc="0" locked="0" layoutInCell="1" allowOverlap="1" wp14:anchorId="7EC63513" wp14:editId="500557D9">
                <wp:simplePos x="0" y="0"/>
                <wp:positionH relativeFrom="page">
                  <wp:posOffset>1150620</wp:posOffset>
                </wp:positionH>
                <wp:positionV relativeFrom="paragraph">
                  <wp:posOffset>-66485</wp:posOffset>
                </wp:positionV>
                <wp:extent cx="5902036" cy="308759"/>
                <wp:effectExtent l="0" t="0" r="22860" b="15240"/>
                <wp:wrapNone/>
                <wp:docPr id="1604383487" name="Text Box 8"/>
                <wp:cNvGraphicFramePr/>
                <a:graphic xmlns:a="http://schemas.openxmlformats.org/drawingml/2006/main">
                  <a:graphicData uri="http://schemas.microsoft.com/office/word/2010/wordprocessingShape">
                    <wps:wsp>
                      <wps:cNvSpPr txBox="1"/>
                      <wps:spPr>
                        <a:xfrm>
                          <a:off x="0" y="0"/>
                          <a:ext cx="5902036" cy="308759"/>
                        </a:xfrm>
                        <a:prstGeom prst="rect">
                          <a:avLst/>
                        </a:prstGeom>
                        <a:solidFill>
                          <a:srgbClr val="B3E3FA"/>
                        </a:solidFill>
                        <a:ln w="6350">
                          <a:solidFill>
                            <a:schemeClr val="bg1"/>
                          </a:solidFill>
                        </a:ln>
                      </wps:spPr>
                      <wps:txbx>
                        <w:txbxContent>
                          <w:p w14:paraId="61621548" w14:textId="12D5CAA0" w:rsidR="007E5732" w:rsidRPr="007E5732" w:rsidRDefault="007E5732" w:rsidP="007E5732">
                            <w:pPr>
                              <w:jc w:val="center"/>
                              <w:rPr>
                                <w:rFonts w:ascii="Times New Roman" w:hAnsi="Times New Roman" w:cs="Times New Roman"/>
                                <w:b/>
                                <w:bCs/>
                                <w:sz w:val="28"/>
                                <w:szCs w:val="28"/>
                              </w:rPr>
                            </w:pPr>
                            <w:r w:rsidRPr="007E5732">
                              <w:rPr>
                                <w:rStyle w:val="Heading2Char"/>
                                <w:rFonts w:ascii="Times New Roman" w:hAnsi="Times New Roman" w:cs="Times New Roman"/>
                                <w:b/>
                                <w:bCs/>
                                <w:color w:val="auto"/>
                                <w:sz w:val="28"/>
                                <w:szCs w:val="28"/>
                              </w:rPr>
                              <w:t>2. Prasības, kas</w:t>
                            </w:r>
                            <w:r w:rsidRPr="007E5732">
                              <w:rPr>
                                <w:rFonts w:ascii="Times New Roman" w:hAnsi="Times New Roman" w:cs="Times New Roman"/>
                                <w:b/>
                                <w:bCs/>
                                <w:sz w:val="28"/>
                                <w:szCs w:val="28"/>
                              </w:rPr>
                              <w:t xml:space="preserve"> celtas, pamatojoties uz Maksātnespējas likuma 72.</w:t>
                            </w:r>
                            <w:r w:rsidRPr="007E5732">
                              <w:rPr>
                                <w:rFonts w:ascii="Times New Roman" w:hAnsi="Times New Roman" w:cs="Times New Roman"/>
                                <w:b/>
                                <w:bCs/>
                                <w:sz w:val="28"/>
                                <w:szCs w:val="28"/>
                                <w:vertAlign w:val="superscript"/>
                              </w:rPr>
                              <w:t>1</w:t>
                            </w:r>
                            <w:r w:rsidRPr="007E5732">
                              <w:rPr>
                                <w:rFonts w:ascii="Times New Roman" w:hAnsi="Times New Roman" w:cs="Times New Roman"/>
                                <w:b/>
                                <w:bCs/>
                                <w:sz w:val="28"/>
                                <w:szCs w:val="28"/>
                              </w:rPr>
                              <w:t> pantu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63513" id="_x0000_s1032" type="#_x0000_t202" style="position:absolute;left:0;text-align:left;margin-left:90.6pt;margin-top:-5.25pt;width:464.75pt;height:2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" fillcolor="#b3e3fa" strokecolor="white [3212]" strokeweight=".5pt">
                <v:textbox>
                  <w:txbxContent>
                    <w:p w14:paraId="61621548" w14:textId="12D5CAA0" w:rsidR="007E5732" w:rsidRPr="007E5732" w:rsidRDefault="007E5732" w:rsidP="007E5732">
                      <w:pPr>
                        <w:jc w:val="center"/>
                        <w:rPr>
                          <w:rFonts w:ascii="Times New Roman" w:hAnsi="Times New Roman" w:cs="Times New Roman"/>
                          <w:b/>
                          <w:bCs/>
                          <w:sz w:val="28"/>
                          <w:szCs w:val="28"/>
                        </w:rPr>
                      </w:pPr>
                      <w:r w:rsidRPr="007E5732">
                        <w:rPr>
                          <w:rStyle w:val="Heading2Char"/>
                          <w:rFonts w:ascii="Times New Roman" w:hAnsi="Times New Roman" w:cs="Times New Roman"/>
                          <w:b/>
                          <w:bCs/>
                          <w:color w:val="auto"/>
                          <w:sz w:val="28"/>
                          <w:szCs w:val="28"/>
                        </w:rPr>
                        <w:t>2. Prasības, kas</w:t>
                      </w:r>
                      <w:r w:rsidRPr="007E5732">
                        <w:rPr>
                          <w:rFonts w:ascii="Times New Roman" w:hAnsi="Times New Roman" w:cs="Times New Roman"/>
                          <w:b/>
                          <w:bCs/>
                          <w:sz w:val="28"/>
                          <w:szCs w:val="28"/>
                        </w:rPr>
                        <w:t xml:space="preserve"> celtas, pamatojoties uz Maksātnespējas likuma 72.</w:t>
                      </w:r>
                      <w:r w:rsidRPr="007E5732">
                        <w:rPr>
                          <w:rFonts w:ascii="Times New Roman" w:hAnsi="Times New Roman" w:cs="Times New Roman"/>
                          <w:b/>
                          <w:bCs/>
                          <w:sz w:val="28"/>
                          <w:szCs w:val="28"/>
                          <w:vertAlign w:val="superscript"/>
                        </w:rPr>
                        <w:t>1</w:t>
                      </w:r>
                      <w:r w:rsidRPr="007E5732">
                        <w:rPr>
                          <w:rFonts w:ascii="Times New Roman" w:hAnsi="Times New Roman" w:cs="Times New Roman"/>
                          <w:b/>
                          <w:bCs/>
                          <w:sz w:val="28"/>
                          <w:szCs w:val="28"/>
                        </w:rPr>
                        <w:t> pantu</w:t>
                      </w:r>
                    </w:p>
                  </w:txbxContent>
                </v:textbox>
                <w10:wrap anchorx="page"/>
              </v:shape>
            </w:pict>
          </mc:Fallback>
        </mc:AlternateContent>
      </w:r>
    </w:p>
    <w:p w14:paraId="742C2A9F" w14:textId="77777777" w:rsidR="007E5732" w:rsidRDefault="007E5732" w:rsidP="009D295A">
      <w:pPr>
        <w:spacing w:after="0" w:line="240" w:lineRule="auto"/>
        <w:ind w:firstLine="720"/>
        <w:jc w:val="both"/>
        <w:rPr>
          <w:rFonts w:ascii="Times New Roman" w:hAnsi="Times New Roman" w:cs="Times New Roman"/>
        </w:rPr>
      </w:pPr>
    </w:p>
    <w:p w14:paraId="33954BFE" w14:textId="5D6C09C0" w:rsidR="002B38CF" w:rsidRPr="00F36B06" w:rsidRDefault="00DC4AEA"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Kā jau minēts </w:t>
      </w:r>
      <w:r w:rsidR="00DB1DDB" w:rsidRPr="00F36B06">
        <w:rPr>
          <w:rFonts w:ascii="Times New Roman" w:hAnsi="Times New Roman" w:cs="Times New Roman"/>
        </w:rPr>
        <w:t xml:space="preserve">iepriekšējā nodaļā, administratoram </w:t>
      </w:r>
      <w:r w:rsidR="00E55B29" w:rsidRPr="00F36B06">
        <w:rPr>
          <w:rFonts w:ascii="Times New Roman" w:hAnsi="Times New Roman" w:cs="Times New Roman"/>
        </w:rPr>
        <w:t xml:space="preserve">ir </w:t>
      </w:r>
      <w:r w:rsidR="00DB1DDB" w:rsidRPr="00F36B06">
        <w:rPr>
          <w:rFonts w:ascii="Times New Roman" w:hAnsi="Times New Roman" w:cs="Times New Roman"/>
        </w:rPr>
        <w:t>pienākum</w:t>
      </w:r>
      <w:r w:rsidR="00E55B29" w:rsidRPr="00F36B06">
        <w:rPr>
          <w:rFonts w:ascii="Times New Roman" w:hAnsi="Times New Roman" w:cs="Times New Roman"/>
        </w:rPr>
        <w:t>s</w:t>
      </w:r>
      <w:r w:rsidR="00DB1DDB" w:rsidRPr="00F36B06">
        <w:rPr>
          <w:rFonts w:ascii="Times New Roman" w:hAnsi="Times New Roman" w:cs="Times New Roman"/>
        </w:rPr>
        <w:t xml:space="preserve"> izvērtēt un celt tiesā prasības pret juridiskās personas pārvaldes institūciju locekļiem un kapitālsabiedrības dalībniekiem (akcionāriem) par viņu nodarīto zaudējumu atlīdzību</w:t>
      </w:r>
      <w:r w:rsidR="00E55B29" w:rsidRPr="00F36B06">
        <w:rPr>
          <w:rFonts w:ascii="Times New Roman" w:hAnsi="Times New Roman" w:cs="Times New Roman"/>
        </w:rPr>
        <w:t>. Minētais administratora pienākums attiec</w:t>
      </w:r>
      <w:r w:rsidR="00F81194" w:rsidRPr="00F36B06">
        <w:rPr>
          <w:rFonts w:ascii="Times New Roman" w:hAnsi="Times New Roman" w:cs="Times New Roman"/>
        </w:rPr>
        <w:t>a</w:t>
      </w:r>
      <w:r w:rsidR="00E55B29" w:rsidRPr="00F36B06">
        <w:rPr>
          <w:rFonts w:ascii="Times New Roman" w:hAnsi="Times New Roman" w:cs="Times New Roman"/>
        </w:rPr>
        <w:t xml:space="preserve">s arī uz </w:t>
      </w:r>
      <w:r w:rsidR="003B1D1F" w:rsidRPr="00F36B06">
        <w:rPr>
          <w:rFonts w:ascii="Times New Roman" w:hAnsi="Times New Roman" w:cs="Times New Roman"/>
        </w:rPr>
        <w:t>Maksātnespējas likuma 72.</w:t>
      </w:r>
      <w:r w:rsidR="003B1D1F" w:rsidRPr="00F36B06">
        <w:rPr>
          <w:rFonts w:ascii="Times New Roman" w:hAnsi="Times New Roman" w:cs="Times New Roman"/>
          <w:vertAlign w:val="superscript"/>
        </w:rPr>
        <w:t>1</w:t>
      </w:r>
      <w:r w:rsidR="003B1D1F" w:rsidRPr="00F36B06">
        <w:rPr>
          <w:rFonts w:ascii="Times New Roman" w:hAnsi="Times New Roman" w:cs="Times New Roman"/>
        </w:rPr>
        <w:t> pantā noteiktajām prasībām par parādnieka doku</w:t>
      </w:r>
      <w:r w:rsidR="00710D2D" w:rsidRPr="00F36B06">
        <w:rPr>
          <w:rFonts w:ascii="Times New Roman" w:hAnsi="Times New Roman" w:cs="Times New Roman"/>
        </w:rPr>
        <w:t>mentu nenodošanu</w:t>
      </w:r>
      <w:r w:rsidR="002B38CF" w:rsidRPr="00F36B06">
        <w:rPr>
          <w:rFonts w:ascii="Times New Roman" w:hAnsi="Times New Roman" w:cs="Times New Roman"/>
        </w:rPr>
        <w:t>.</w:t>
      </w:r>
    </w:p>
    <w:p w14:paraId="11D7EC55" w14:textId="1DFA95DA" w:rsidR="00754D07" w:rsidRPr="00F36B06" w:rsidRDefault="00D64C45"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Maksātnespējas likuma 72.</w:t>
      </w:r>
      <w:r w:rsidRPr="00F36B06">
        <w:rPr>
          <w:rFonts w:ascii="Times New Roman" w:hAnsi="Times New Roman" w:cs="Times New Roman"/>
          <w:vertAlign w:val="superscript"/>
        </w:rPr>
        <w:t>1</w:t>
      </w:r>
      <w:r w:rsidRPr="00F36B06">
        <w:rPr>
          <w:rFonts w:ascii="Times New Roman" w:hAnsi="Times New Roman" w:cs="Times New Roman"/>
        </w:rPr>
        <w:t xml:space="preserve"> panta pirmā daļa </w:t>
      </w:r>
      <w:r w:rsidR="005245A8" w:rsidRPr="00F36B06">
        <w:rPr>
          <w:rFonts w:ascii="Times New Roman" w:hAnsi="Times New Roman" w:cs="Times New Roman"/>
        </w:rPr>
        <w:t>paredz</w:t>
      </w:r>
      <w:r w:rsidRPr="00F36B06">
        <w:rPr>
          <w:rFonts w:ascii="Times New Roman" w:hAnsi="Times New Roman" w:cs="Times New Roman"/>
        </w:rPr>
        <w:t xml:space="preserve"> valdes locekļu atbildību par dokumentu nenodošanu, nosakot, ka parādnieka – kapitālsabiedrības valdes locekļi solidāri atbild par zaudējumiem parādniekam, ja administratoram netiek nodoti parādnieka grāmatvedības dokumenti vai tie ir tādā stāvoklī, kas neļauj gūt skaidru priekšstatu par parādnieka darījumiem un mantas stāvokli pēdējos trijos gados pirms maksātnespējas procesa pasludināšanas.</w:t>
      </w:r>
      <w:r w:rsidR="00996918" w:rsidRPr="00F36B06">
        <w:rPr>
          <w:rFonts w:ascii="Times New Roman" w:hAnsi="Times New Roman" w:cs="Times New Roman"/>
        </w:rPr>
        <w:t xml:space="preserve"> Atšķirībā no zaudējum</w:t>
      </w:r>
      <w:r w:rsidR="00606F56" w:rsidRPr="00F36B06">
        <w:rPr>
          <w:rFonts w:ascii="Times New Roman" w:hAnsi="Times New Roman" w:cs="Times New Roman"/>
        </w:rPr>
        <w:t xml:space="preserve">u </w:t>
      </w:r>
      <w:r w:rsidR="00571DD5" w:rsidRPr="00F36B06">
        <w:rPr>
          <w:rFonts w:ascii="Times New Roman" w:hAnsi="Times New Roman" w:cs="Times New Roman"/>
        </w:rPr>
        <w:t>atlīdzības prasī</w:t>
      </w:r>
      <w:r w:rsidR="00B7776E" w:rsidRPr="00F36B06">
        <w:rPr>
          <w:rFonts w:ascii="Times New Roman" w:hAnsi="Times New Roman" w:cs="Times New Roman"/>
        </w:rPr>
        <w:t>bā</w:t>
      </w:r>
      <w:r w:rsidR="00EE7455" w:rsidRPr="00F36B06">
        <w:rPr>
          <w:rFonts w:ascii="Times New Roman" w:hAnsi="Times New Roman" w:cs="Times New Roman"/>
        </w:rPr>
        <w:t>m</w:t>
      </w:r>
      <w:r w:rsidR="008C43A6" w:rsidRPr="00F36B06">
        <w:rPr>
          <w:rFonts w:ascii="Times New Roman" w:hAnsi="Times New Roman" w:cs="Times New Roman"/>
        </w:rPr>
        <w:t xml:space="preserve">, kas izriet no </w:t>
      </w:r>
      <w:r w:rsidR="00A968F0" w:rsidRPr="00F36B06">
        <w:rPr>
          <w:rFonts w:ascii="Times New Roman" w:hAnsi="Times New Roman" w:cs="Times New Roman"/>
        </w:rPr>
        <w:t xml:space="preserve">vispārējā </w:t>
      </w:r>
      <w:r w:rsidR="008C43A6" w:rsidRPr="00F36B06">
        <w:rPr>
          <w:rFonts w:ascii="Times New Roman" w:hAnsi="Times New Roman" w:cs="Times New Roman"/>
        </w:rPr>
        <w:t>Civillikumā noteiktā pienā</w:t>
      </w:r>
      <w:r w:rsidR="004C48C8" w:rsidRPr="00F36B06">
        <w:rPr>
          <w:rFonts w:ascii="Times New Roman" w:hAnsi="Times New Roman" w:cs="Times New Roman"/>
        </w:rPr>
        <w:t xml:space="preserve">kuma atlīdzināt zaudējumus, </w:t>
      </w:r>
      <w:r w:rsidR="00571DD5" w:rsidRPr="00F36B06">
        <w:rPr>
          <w:rFonts w:ascii="Times New Roman" w:hAnsi="Times New Roman" w:cs="Times New Roman"/>
        </w:rPr>
        <w:t xml:space="preserve">zaudējumu </w:t>
      </w:r>
      <w:r w:rsidR="001A66F8" w:rsidRPr="00F36B06">
        <w:rPr>
          <w:rFonts w:ascii="Times New Roman" w:hAnsi="Times New Roman" w:cs="Times New Roman"/>
        </w:rPr>
        <w:t>atlīdzības prasī</w:t>
      </w:r>
      <w:r w:rsidR="00B7776E" w:rsidRPr="00F36B06">
        <w:rPr>
          <w:rFonts w:ascii="Times New Roman" w:hAnsi="Times New Roman" w:cs="Times New Roman"/>
        </w:rPr>
        <w:t>bās</w:t>
      </w:r>
      <w:r w:rsidR="005666FE" w:rsidRPr="00F36B06">
        <w:rPr>
          <w:rFonts w:ascii="Times New Roman" w:hAnsi="Times New Roman" w:cs="Times New Roman"/>
        </w:rPr>
        <w:t xml:space="preserve">, </w:t>
      </w:r>
      <w:r w:rsidR="00407864" w:rsidRPr="00F36B06">
        <w:rPr>
          <w:rFonts w:ascii="Times New Roman" w:hAnsi="Times New Roman" w:cs="Times New Roman"/>
        </w:rPr>
        <w:t xml:space="preserve">kas </w:t>
      </w:r>
      <w:r w:rsidR="005666FE" w:rsidRPr="00F36B06">
        <w:rPr>
          <w:rFonts w:ascii="Times New Roman" w:hAnsi="Times New Roman" w:cs="Times New Roman"/>
        </w:rPr>
        <w:t>pamatoj</w:t>
      </w:r>
      <w:r w:rsidR="00407864" w:rsidRPr="00F36B06">
        <w:rPr>
          <w:rFonts w:ascii="Times New Roman" w:hAnsi="Times New Roman" w:cs="Times New Roman"/>
        </w:rPr>
        <w:t>a</w:t>
      </w:r>
      <w:r w:rsidR="005666FE" w:rsidRPr="00F36B06">
        <w:rPr>
          <w:rFonts w:ascii="Times New Roman" w:hAnsi="Times New Roman" w:cs="Times New Roman"/>
        </w:rPr>
        <w:t>s uz Maksātnespējas likuma 72.</w:t>
      </w:r>
      <w:r w:rsidR="005666FE" w:rsidRPr="00F36B06">
        <w:rPr>
          <w:rFonts w:ascii="Times New Roman" w:hAnsi="Times New Roman" w:cs="Times New Roman"/>
          <w:vertAlign w:val="superscript"/>
        </w:rPr>
        <w:t>1</w:t>
      </w:r>
      <w:r w:rsidR="005666FE" w:rsidRPr="00F36B06">
        <w:rPr>
          <w:rFonts w:ascii="Times New Roman" w:hAnsi="Times New Roman" w:cs="Times New Roman"/>
        </w:rPr>
        <w:t> pant</w:t>
      </w:r>
      <w:r w:rsidR="00407864" w:rsidRPr="00F36B06">
        <w:rPr>
          <w:rFonts w:ascii="Times New Roman" w:hAnsi="Times New Roman" w:cs="Times New Roman"/>
        </w:rPr>
        <w:t>u</w:t>
      </w:r>
      <w:r w:rsidR="004A18CF" w:rsidRPr="00F36B06">
        <w:rPr>
          <w:rFonts w:ascii="Times New Roman" w:hAnsi="Times New Roman" w:cs="Times New Roman"/>
        </w:rPr>
        <w:t>,</w:t>
      </w:r>
      <w:r w:rsidR="00571DD5" w:rsidRPr="00F36B06">
        <w:rPr>
          <w:rFonts w:ascii="Times New Roman" w:hAnsi="Times New Roman" w:cs="Times New Roman"/>
        </w:rPr>
        <w:t xml:space="preserve"> </w:t>
      </w:r>
      <w:r w:rsidR="005B3980" w:rsidRPr="00F36B06">
        <w:rPr>
          <w:rFonts w:ascii="Times New Roman" w:hAnsi="Times New Roman" w:cs="Times New Roman"/>
        </w:rPr>
        <w:t xml:space="preserve">likumā </w:t>
      </w:r>
      <w:r w:rsidR="001E13F4" w:rsidRPr="00F36B06">
        <w:rPr>
          <w:rFonts w:ascii="Times New Roman" w:hAnsi="Times New Roman" w:cs="Times New Roman"/>
        </w:rPr>
        <w:t xml:space="preserve">ir definēts </w:t>
      </w:r>
      <w:r w:rsidR="001777F1" w:rsidRPr="00F36B06">
        <w:rPr>
          <w:rFonts w:ascii="Times New Roman" w:hAnsi="Times New Roman" w:cs="Times New Roman"/>
        </w:rPr>
        <w:t>parādniekam nodarīto zaudējumu apmēr</w:t>
      </w:r>
      <w:r w:rsidR="00F3592D" w:rsidRPr="00F36B06">
        <w:rPr>
          <w:rFonts w:ascii="Times New Roman" w:hAnsi="Times New Roman" w:cs="Times New Roman"/>
        </w:rPr>
        <w:t>s</w:t>
      </w:r>
      <w:r w:rsidR="00917CFC" w:rsidRPr="00F36B06">
        <w:rPr>
          <w:rFonts w:ascii="Times New Roman" w:hAnsi="Times New Roman" w:cs="Times New Roman"/>
        </w:rPr>
        <w:t xml:space="preserve">, </w:t>
      </w:r>
      <w:r w:rsidR="00C273F5" w:rsidRPr="00F36B06">
        <w:rPr>
          <w:rFonts w:ascii="Times New Roman" w:hAnsi="Times New Roman" w:cs="Times New Roman"/>
        </w:rPr>
        <w:t>tādējādi</w:t>
      </w:r>
      <w:r w:rsidR="00917CFC" w:rsidRPr="00F36B06">
        <w:rPr>
          <w:rFonts w:ascii="Times New Roman" w:hAnsi="Times New Roman" w:cs="Times New Roman"/>
        </w:rPr>
        <w:t xml:space="preserve"> atvieglo</w:t>
      </w:r>
      <w:r w:rsidR="00C273F5" w:rsidRPr="00F36B06">
        <w:rPr>
          <w:rFonts w:ascii="Times New Roman" w:hAnsi="Times New Roman" w:cs="Times New Roman"/>
        </w:rPr>
        <w:t>jot</w:t>
      </w:r>
      <w:r w:rsidR="00917CFC" w:rsidRPr="00F36B06">
        <w:rPr>
          <w:rFonts w:ascii="Times New Roman" w:hAnsi="Times New Roman" w:cs="Times New Roman"/>
        </w:rPr>
        <w:t xml:space="preserve"> admini</w:t>
      </w:r>
      <w:r w:rsidR="00B247F9" w:rsidRPr="00F36B06">
        <w:rPr>
          <w:rFonts w:ascii="Times New Roman" w:hAnsi="Times New Roman" w:cs="Times New Roman"/>
        </w:rPr>
        <w:t>stratoram pier</w:t>
      </w:r>
      <w:r w:rsidR="00C273F5" w:rsidRPr="00F36B06">
        <w:rPr>
          <w:rFonts w:ascii="Times New Roman" w:hAnsi="Times New Roman" w:cs="Times New Roman"/>
        </w:rPr>
        <w:t>ādīšanas slogu</w:t>
      </w:r>
      <w:r w:rsidR="002877FC" w:rsidRPr="00F36B06">
        <w:rPr>
          <w:rFonts w:ascii="Times New Roman" w:hAnsi="Times New Roman" w:cs="Times New Roman"/>
        </w:rPr>
        <w:t xml:space="preserve">. </w:t>
      </w:r>
      <w:r w:rsidR="00DC073B" w:rsidRPr="00F36B06">
        <w:rPr>
          <w:rFonts w:ascii="Times New Roman" w:hAnsi="Times New Roman" w:cs="Times New Roman"/>
        </w:rPr>
        <w:t xml:space="preserve">Prasībās par zaudējumu atlīdzību, </w:t>
      </w:r>
      <w:r w:rsidR="004A18CF" w:rsidRPr="00F36B06">
        <w:rPr>
          <w:rFonts w:ascii="Times New Roman" w:hAnsi="Times New Roman" w:cs="Times New Roman"/>
        </w:rPr>
        <w:t xml:space="preserve">kas </w:t>
      </w:r>
      <w:r w:rsidR="008B7263" w:rsidRPr="00F36B06">
        <w:rPr>
          <w:rFonts w:ascii="Times New Roman" w:hAnsi="Times New Roman" w:cs="Times New Roman"/>
        </w:rPr>
        <w:t>pamatojas uz Maksātnespējas likuma 72.</w:t>
      </w:r>
      <w:r w:rsidR="008B7263" w:rsidRPr="00F36B06">
        <w:rPr>
          <w:rFonts w:ascii="Times New Roman" w:hAnsi="Times New Roman" w:cs="Times New Roman"/>
          <w:vertAlign w:val="superscript"/>
        </w:rPr>
        <w:t>1</w:t>
      </w:r>
      <w:r w:rsidR="008B7263" w:rsidRPr="00F36B06">
        <w:rPr>
          <w:rFonts w:ascii="Times New Roman" w:hAnsi="Times New Roman" w:cs="Times New Roman"/>
        </w:rPr>
        <w:t> pantu</w:t>
      </w:r>
      <w:r w:rsidR="00113B68" w:rsidRPr="00F36B06">
        <w:rPr>
          <w:rFonts w:ascii="Times New Roman" w:hAnsi="Times New Roman" w:cs="Times New Roman"/>
        </w:rPr>
        <w:t xml:space="preserve">, par </w:t>
      </w:r>
      <w:r w:rsidR="00C5130E" w:rsidRPr="00F36B06">
        <w:rPr>
          <w:rFonts w:ascii="Times New Roman" w:hAnsi="Times New Roman" w:cs="Times New Roman"/>
        </w:rPr>
        <w:t>parādniekam nodarīto zaudējumu apmēru</w:t>
      </w:r>
      <w:r w:rsidR="001777F1" w:rsidRPr="00F36B06">
        <w:rPr>
          <w:rFonts w:ascii="Times New Roman" w:hAnsi="Times New Roman" w:cs="Times New Roman"/>
        </w:rPr>
        <w:t xml:space="preserve"> tiek uzskatīti parādnieka maksātnespējas procesā atzītie kreditoru prasījumi pamatparāda apmērā, kurus nav iespējams segt parādnieka maksātnespējas procesa ietvaros.</w:t>
      </w:r>
      <w:r w:rsidR="000F1702" w:rsidRPr="00F36B06">
        <w:rPr>
          <w:rStyle w:val="FootnoteReference"/>
          <w:rFonts w:ascii="Times New Roman" w:hAnsi="Times New Roman" w:cs="Times New Roman"/>
        </w:rPr>
        <w:footnoteReference w:id="44"/>
      </w:r>
    </w:p>
    <w:p w14:paraId="233BCB73" w14:textId="31539793" w:rsidR="00EF6977" w:rsidRPr="00F36B06" w:rsidRDefault="00EF6977" w:rsidP="002C27B5">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Šāds </w:t>
      </w:r>
      <w:r w:rsidR="004C56EE" w:rsidRPr="00F36B06">
        <w:rPr>
          <w:rFonts w:ascii="Times New Roman" w:hAnsi="Times New Roman" w:cs="Times New Roman"/>
        </w:rPr>
        <w:t xml:space="preserve">regulējums </w:t>
      </w:r>
      <w:r w:rsidR="005455EE" w:rsidRPr="00F36B06">
        <w:rPr>
          <w:rFonts w:ascii="Times New Roman" w:hAnsi="Times New Roman" w:cs="Times New Roman"/>
        </w:rPr>
        <w:t xml:space="preserve">ir izstrādāts, jo no dokumentu pieejamības administratoram ir </w:t>
      </w:r>
      <w:r w:rsidR="0045691F" w:rsidRPr="00F36B06">
        <w:rPr>
          <w:rFonts w:ascii="Times New Roman" w:hAnsi="Times New Roman" w:cs="Times New Roman"/>
        </w:rPr>
        <w:t xml:space="preserve">atkarīga turpmākā maksātnespējas procesa virzība – bez dokumentiem nav iespējams </w:t>
      </w:r>
      <w:r w:rsidR="000D6E38" w:rsidRPr="00F36B06">
        <w:rPr>
          <w:rFonts w:ascii="Times New Roman" w:hAnsi="Times New Roman" w:cs="Times New Roman"/>
        </w:rPr>
        <w:t>pilnvērtīgi apzināt parādnieka ma</w:t>
      </w:r>
      <w:r w:rsidR="009F7C2C" w:rsidRPr="00F36B06">
        <w:rPr>
          <w:rFonts w:ascii="Times New Roman" w:hAnsi="Times New Roman" w:cs="Times New Roman"/>
        </w:rPr>
        <w:t>ntu un saistības, izvērtēt parādnieka pirms maksātnespējas pasludināšanas slēgtos darījumus</w:t>
      </w:r>
      <w:r w:rsidR="007E6A72" w:rsidRPr="00F36B06">
        <w:rPr>
          <w:rFonts w:ascii="Times New Roman" w:hAnsi="Times New Roman" w:cs="Times New Roman"/>
        </w:rPr>
        <w:t>, kā rezultātā nav iespējams sasniegt maksātnespējas procesa mērķi</w:t>
      </w:r>
      <w:r w:rsidR="00DC71E9" w:rsidRPr="00F36B06">
        <w:rPr>
          <w:rFonts w:ascii="Times New Roman" w:hAnsi="Times New Roman" w:cs="Times New Roman"/>
        </w:rPr>
        <w:t> – apmierināt kreditoru prasījumus</w:t>
      </w:r>
      <w:r w:rsidR="00A121DE" w:rsidRPr="00F36B06">
        <w:rPr>
          <w:rFonts w:ascii="Times New Roman" w:hAnsi="Times New Roman" w:cs="Times New Roman"/>
        </w:rPr>
        <w:t xml:space="preserve">. </w:t>
      </w:r>
      <w:r w:rsidR="00765B02" w:rsidRPr="00F36B06">
        <w:rPr>
          <w:rFonts w:ascii="Times New Roman" w:hAnsi="Times New Roman" w:cs="Times New Roman"/>
        </w:rPr>
        <w:t xml:space="preserve">Līdz ar to </w:t>
      </w:r>
      <w:r w:rsidR="005A5AC8" w:rsidRPr="00F36B06">
        <w:rPr>
          <w:rFonts w:ascii="Times New Roman" w:hAnsi="Times New Roman" w:cs="Times New Roman"/>
        </w:rPr>
        <w:t xml:space="preserve">gadījumā, ja </w:t>
      </w:r>
      <w:r w:rsidR="001E7844" w:rsidRPr="00F36B06">
        <w:rPr>
          <w:rFonts w:ascii="Times New Roman" w:hAnsi="Times New Roman" w:cs="Times New Roman"/>
        </w:rPr>
        <w:t>parādnieka valdes loceklis</w:t>
      </w:r>
      <w:r w:rsidR="005A5AC8" w:rsidRPr="00F36B06">
        <w:rPr>
          <w:rFonts w:ascii="Times New Roman" w:hAnsi="Times New Roman" w:cs="Times New Roman"/>
        </w:rPr>
        <w:t xml:space="preserve"> nav nodrošinājis dokumentu</w:t>
      </w:r>
      <w:r w:rsidR="00603B52" w:rsidRPr="00F36B06">
        <w:rPr>
          <w:rFonts w:ascii="Times New Roman" w:hAnsi="Times New Roman" w:cs="Times New Roman"/>
        </w:rPr>
        <w:t xml:space="preserve"> glabāšanu,</w:t>
      </w:r>
      <w:r w:rsidR="00C14AFF" w:rsidRPr="00F36B06">
        <w:rPr>
          <w:rFonts w:ascii="Times New Roman" w:hAnsi="Times New Roman" w:cs="Times New Roman"/>
        </w:rPr>
        <w:t xml:space="preserve"> tādējādi izrādot </w:t>
      </w:r>
      <w:r w:rsidR="00EB5274" w:rsidRPr="00F36B06">
        <w:rPr>
          <w:rFonts w:ascii="Times New Roman" w:hAnsi="Times New Roman" w:cs="Times New Roman"/>
        </w:rPr>
        <w:t>pietiekamu</w:t>
      </w:r>
      <w:r w:rsidR="00C14AFF" w:rsidRPr="00F36B06">
        <w:rPr>
          <w:rFonts w:ascii="Times New Roman" w:hAnsi="Times New Roman" w:cs="Times New Roman"/>
        </w:rPr>
        <w:t xml:space="preserve"> rūpīgu,</w:t>
      </w:r>
      <w:r w:rsidR="00603B52" w:rsidRPr="00F36B06">
        <w:rPr>
          <w:rFonts w:ascii="Times New Roman" w:hAnsi="Times New Roman" w:cs="Times New Roman"/>
        </w:rPr>
        <w:t xml:space="preserve"> kā no viņa to prasa Komerclikums, likums "Par grāmatvedību", kā arī citi </w:t>
      </w:r>
      <w:r w:rsidR="00C14AFF" w:rsidRPr="00F36B06">
        <w:rPr>
          <w:rFonts w:ascii="Times New Roman" w:hAnsi="Times New Roman" w:cs="Times New Roman"/>
        </w:rPr>
        <w:t>normatīvie akt</w:t>
      </w:r>
      <w:r w:rsidR="00EB5274" w:rsidRPr="00F36B06">
        <w:rPr>
          <w:rFonts w:ascii="Times New Roman" w:hAnsi="Times New Roman" w:cs="Times New Roman"/>
        </w:rPr>
        <w:t xml:space="preserve">i, </w:t>
      </w:r>
      <w:r w:rsidR="002F2AA1" w:rsidRPr="00F36B06">
        <w:rPr>
          <w:rFonts w:ascii="Times New Roman" w:hAnsi="Times New Roman" w:cs="Times New Roman"/>
        </w:rPr>
        <w:t>atbil</w:t>
      </w:r>
      <w:r w:rsidR="005C4F49" w:rsidRPr="00F36B06">
        <w:rPr>
          <w:rFonts w:ascii="Times New Roman" w:hAnsi="Times New Roman" w:cs="Times New Roman"/>
        </w:rPr>
        <w:t xml:space="preserve">dības iestāšanās par šādu prettiesisko rīcību ir tikai likumsakarīga. </w:t>
      </w:r>
    </w:p>
    <w:p w14:paraId="2A3BC5DD" w14:textId="6088AD51" w:rsidR="003348BA" w:rsidRPr="00F36B06" w:rsidRDefault="00083B66" w:rsidP="002C27B5">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Pētījuma ietvaros </w:t>
      </w:r>
      <w:r w:rsidR="009F5103" w:rsidRPr="00F36B06">
        <w:rPr>
          <w:rFonts w:ascii="Times New Roman" w:hAnsi="Times New Roman" w:cs="Times New Roman"/>
        </w:rPr>
        <w:t xml:space="preserve">konstatēts, ka </w:t>
      </w:r>
      <w:r w:rsidR="00D41D89" w:rsidRPr="00F36B06">
        <w:rPr>
          <w:rFonts w:ascii="Times New Roman" w:hAnsi="Times New Roman" w:cs="Times New Roman"/>
        </w:rPr>
        <w:t xml:space="preserve">tika celtas 35 </w:t>
      </w:r>
      <w:r w:rsidR="00B00333" w:rsidRPr="00F36B06">
        <w:rPr>
          <w:rFonts w:ascii="Times New Roman" w:hAnsi="Times New Roman" w:cs="Times New Roman"/>
        </w:rPr>
        <w:t>p</w:t>
      </w:r>
      <w:r w:rsidR="00660715" w:rsidRPr="00F36B06">
        <w:rPr>
          <w:rFonts w:ascii="Times New Roman" w:hAnsi="Times New Roman" w:cs="Times New Roman"/>
        </w:rPr>
        <w:t>rasības pret valdi</w:t>
      </w:r>
      <w:r w:rsidR="00B00333" w:rsidRPr="00F36B06">
        <w:rPr>
          <w:rFonts w:ascii="Times New Roman" w:hAnsi="Times New Roman" w:cs="Times New Roman"/>
        </w:rPr>
        <w:t xml:space="preserve"> par dokumentu nenodošanu</w:t>
      </w:r>
      <w:r w:rsidR="00660715" w:rsidRPr="00F36B06">
        <w:rPr>
          <w:rFonts w:ascii="Times New Roman" w:hAnsi="Times New Roman" w:cs="Times New Roman"/>
        </w:rPr>
        <w:t>, pamatojoties uz Maksātnespējas likuma 72.</w:t>
      </w:r>
      <w:r w:rsidR="00660715" w:rsidRPr="00F36B06">
        <w:rPr>
          <w:rFonts w:ascii="Times New Roman" w:hAnsi="Times New Roman" w:cs="Times New Roman"/>
          <w:vertAlign w:val="superscript"/>
        </w:rPr>
        <w:t>1</w:t>
      </w:r>
      <w:r w:rsidR="00660715" w:rsidRPr="00F36B06">
        <w:rPr>
          <w:rFonts w:ascii="Times New Roman" w:hAnsi="Times New Roman" w:cs="Times New Roman"/>
        </w:rPr>
        <w:t> pantu</w:t>
      </w:r>
      <w:r w:rsidR="000D79DC" w:rsidRPr="00F36B06">
        <w:rPr>
          <w:rFonts w:ascii="Times New Roman" w:hAnsi="Times New Roman" w:cs="Times New Roman"/>
        </w:rPr>
        <w:t>,</w:t>
      </w:r>
      <w:r w:rsidR="00011BD0" w:rsidRPr="00F36B06">
        <w:rPr>
          <w:rFonts w:ascii="Times New Roman" w:hAnsi="Times New Roman" w:cs="Times New Roman"/>
        </w:rPr>
        <w:t xml:space="preserve"> kas nozīmē, ka k</w:t>
      </w:r>
      <w:r w:rsidR="00FB5649" w:rsidRPr="00F36B06">
        <w:rPr>
          <w:rFonts w:ascii="Times New Roman" w:hAnsi="Times New Roman" w:cs="Times New Roman"/>
        </w:rPr>
        <w:t>atrā</w:t>
      </w:r>
      <w:r w:rsidR="00011BD0" w:rsidRPr="00F36B06">
        <w:rPr>
          <w:rFonts w:ascii="Times New Roman" w:hAnsi="Times New Roman" w:cs="Times New Roman"/>
        </w:rPr>
        <w:t xml:space="preserve"> </w:t>
      </w:r>
      <w:r w:rsidR="00FB5649" w:rsidRPr="00F36B06">
        <w:rPr>
          <w:rFonts w:ascii="Times New Roman" w:hAnsi="Times New Roman" w:cs="Times New Roman"/>
        </w:rPr>
        <w:t>sestajā maksātnespējas procesā administratoram ir bijis pamats celt prasību tiesā par dokumentu nenodošanu.</w:t>
      </w:r>
    </w:p>
    <w:p w14:paraId="6422FC60" w14:textId="7BAF1A47" w:rsidR="005334AD" w:rsidRPr="00F36B06" w:rsidRDefault="005334AD" w:rsidP="002C27B5">
      <w:pPr>
        <w:spacing w:after="0" w:line="240" w:lineRule="auto"/>
        <w:ind w:firstLine="720"/>
        <w:jc w:val="both"/>
        <w:rPr>
          <w:rFonts w:ascii="Times New Roman" w:eastAsia="Times New Roman" w:hAnsi="Times New Roman" w:cs="Times New Roman"/>
          <w:color w:val="000000"/>
          <w:kern w:val="0"/>
          <w:lang w:eastAsia="lv-LV"/>
          <w14:ligatures w14:val="none"/>
        </w:rPr>
      </w:pPr>
      <w:r w:rsidRPr="00F36B06">
        <w:rPr>
          <w:rFonts w:ascii="Times New Roman" w:hAnsi="Times New Roman" w:cs="Times New Roman"/>
        </w:rPr>
        <w:t>Kopumā maksātnespējas procesos, kuros</w:t>
      </w:r>
      <w:r w:rsidR="002B02F7" w:rsidRPr="00F36B06">
        <w:rPr>
          <w:rFonts w:ascii="Times New Roman" w:hAnsi="Times New Roman" w:cs="Times New Roman"/>
        </w:rPr>
        <w:t>, pamatojoties uz Maksātnespējas likuma 72.</w:t>
      </w:r>
      <w:r w:rsidR="002B02F7" w:rsidRPr="00F36B06">
        <w:rPr>
          <w:rFonts w:ascii="Times New Roman" w:hAnsi="Times New Roman" w:cs="Times New Roman"/>
          <w:vertAlign w:val="superscript"/>
        </w:rPr>
        <w:t>1</w:t>
      </w:r>
      <w:r w:rsidR="002B02F7" w:rsidRPr="00F36B06">
        <w:rPr>
          <w:rFonts w:ascii="Times New Roman" w:hAnsi="Times New Roman" w:cs="Times New Roman"/>
        </w:rPr>
        <w:t> pantu</w:t>
      </w:r>
      <w:r w:rsidR="007F3195" w:rsidRPr="00F36B06">
        <w:rPr>
          <w:rFonts w:ascii="Times New Roman" w:hAnsi="Times New Roman" w:cs="Times New Roman"/>
        </w:rPr>
        <w:t>,</w:t>
      </w:r>
      <w:r w:rsidRPr="00F36B06">
        <w:rPr>
          <w:rFonts w:ascii="Times New Roman" w:hAnsi="Times New Roman" w:cs="Times New Roman"/>
        </w:rPr>
        <w:t xml:space="preserve"> celtas zaudējumu atlīdzības prasības, atzīto kreditoru prasījumu apmērs </w:t>
      </w:r>
      <w:r w:rsidR="00DF061D" w:rsidRPr="00F36B06">
        <w:rPr>
          <w:rFonts w:ascii="Times New Roman" w:hAnsi="Times New Roman" w:cs="Times New Roman"/>
        </w:rPr>
        <w:t>ir</w:t>
      </w:r>
      <w:r w:rsidR="008A0F1B" w:rsidRPr="00F36B06">
        <w:rPr>
          <w:rFonts w:ascii="Times New Roman" w:hAnsi="Times New Roman" w:cs="Times New Roman"/>
        </w:rPr>
        <w:t xml:space="preserve"> </w:t>
      </w:r>
      <w:r w:rsidR="008A0F1B" w:rsidRPr="00F36B06">
        <w:rPr>
          <w:rFonts w:ascii="Times New Roman" w:eastAsia="Times New Roman" w:hAnsi="Times New Roman" w:cs="Times New Roman"/>
          <w:color w:val="000000"/>
          <w:kern w:val="0"/>
          <w:lang w:eastAsia="lv-LV"/>
          <w14:ligatures w14:val="none"/>
        </w:rPr>
        <w:t>4 716 887</w:t>
      </w:r>
      <w:r w:rsidR="00057619"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color w:val="000000"/>
          <w:kern w:val="0"/>
          <w:lang w:eastAsia="lv-LV"/>
          <w14:ligatures w14:val="none"/>
        </w:rPr>
        <w:t xml:space="preserve">, bet kopējais apmierināto prasījumu apmērs šajos procesos </w:t>
      </w:r>
      <w:r w:rsidR="00DF061D" w:rsidRPr="00F36B06">
        <w:rPr>
          <w:rFonts w:ascii="Times New Roman" w:eastAsia="Times New Roman" w:hAnsi="Times New Roman" w:cs="Times New Roman"/>
          <w:color w:val="000000"/>
          <w:kern w:val="0"/>
          <w:lang w:eastAsia="lv-LV"/>
          <w14:ligatures w14:val="none"/>
        </w:rPr>
        <w:t xml:space="preserve">ir </w:t>
      </w:r>
      <w:r w:rsidR="004D1BFE" w:rsidRPr="00F36B06">
        <w:rPr>
          <w:rFonts w:ascii="Times New Roman" w:eastAsia="Times New Roman" w:hAnsi="Times New Roman" w:cs="Times New Roman"/>
          <w:color w:val="000000"/>
          <w:kern w:val="0"/>
          <w:lang w:eastAsia="lv-LV"/>
          <w14:ligatures w14:val="none"/>
        </w:rPr>
        <w:t>678 59</w:t>
      </w:r>
      <w:r w:rsidR="00AB4691">
        <w:rPr>
          <w:rFonts w:ascii="Times New Roman" w:eastAsia="Times New Roman" w:hAnsi="Times New Roman" w:cs="Times New Roman"/>
          <w:color w:val="000000"/>
          <w:kern w:val="0"/>
          <w:lang w:eastAsia="lv-LV"/>
          <w14:ligatures w14:val="none"/>
        </w:rPr>
        <w:t>6</w:t>
      </w:r>
      <w:r w:rsidR="004D1BFE"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i/>
          <w:iCs/>
          <w:color w:val="000000"/>
          <w:kern w:val="0"/>
          <w:lang w:eastAsia="lv-LV"/>
          <w14:ligatures w14:val="none"/>
        </w:rPr>
        <w:t xml:space="preserve">. </w:t>
      </w:r>
      <w:r w:rsidRPr="00F36B06">
        <w:rPr>
          <w:rFonts w:ascii="Times New Roman" w:eastAsia="Times New Roman" w:hAnsi="Times New Roman" w:cs="Times New Roman"/>
          <w:color w:val="000000"/>
          <w:kern w:val="0"/>
          <w:lang w:eastAsia="lv-LV"/>
          <w14:ligatures w14:val="none"/>
        </w:rPr>
        <w:t>Līdz ar to kopumā šajos procesos kreditori ir zaudējuši</w:t>
      </w:r>
      <w:r w:rsidR="008B4AC7" w:rsidRPr="00F36B06">
        <w:rPr>
          <w:rFonts w:ascii="Times New Roman" w:eastAsia="Times New Roman" w:hAnsi="Times New Roman" w:cs="Times New Roman"/>
          <w:color w:val="000000"/>
          <w:kern w:val="0"/>
          <w:lang w:eastAsia="lv-LV"/>
          <w14:ligatures w14:val="none"/>
        </w:rPr>
        <w:t xml:space="preserve"> </w:t>
      </w:r>
      <w:r w:rsidR="007A6C3D" w:rsidRPr="00F36B06">
        <w:rPr>
          <w:rFonts w:ascii="Times New Roman" w:eastAsia="Times New Roman" w:hAnsi="Times New Roman" w:cs="Times New Roman"/>
          <w:color w:val="000000"/>
          <w:kern w:val="0"/>
          <w:lang w:eastAsia="lv-LV"/>
          <w14:ligatures w14:val="none"/>
        </w:rPr>
        <w:t>4 038 29</w:t>
      </w:r>
      <w:r w:rsidR="00AB4691">
        <w:rPr>
          <w:rFonts w:ascii="Times New Roman" w:eastAsia="Times New Roman" w:hAnsi="Times New Roman" w:cs="Times New Roman"/>
          <w:color w:val="000000"/>
          <w:kern w:val="0"/>
          <w:lang w:eastAsia="lv-LV"/>
          <w14:ligatures w14:val="none"/>
        </w:rPr>
        <w:t>2</w:t>
      </w:r>
      <w:r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i/>
          <w:iCs/>
          <w:color w:val="000000"/>
          <w:kern w:val="0"/>
          <w:lang w:eastAsia="lv-LV"/>
          <w14:ligatures w14:val="none"/>
        </w:rPr>
        <w:t xml:space="preserve">. </w:t>
      </w:r>
      <w:r w:rsidRPr="00F36B06">
        <w:rPr>
          <w:rFonts w:ascii="Times New Roman" w:eastAsia="Times New Roman" w:hAnsi="Times New Roman" w:cs="Times New Roman"/>
          <w:color w:val="000000"/>
          <w:kern w:val="0"/>
          <w:lang w:eastAsia="lv-LV"/>
          <w14:ligatures w14:val="none"/>
        </w:rPr>
        <w:t>Savukārt starpība starp tiesas atzīto valdes locekļu un dalībnieku parādniekam nodarīto zaudējumu apmēru (</w:t>
      </w:r>
      <w:r w:rsidR="002E5F93" w:rsidRPr="00F36B06">
        <w:rPr>
          <w:rFonts w:ascii="Times New Roman" w:eastAsia="Times New Roman" w:hAnsi="Times New Roman" w:cs="Times New Roman"/>
          <w:color w:val="000000"/>
          <w:kern w:val="0"/>
          <w:lang w:eastAsia="lv-LV"/>
          <w14:ligatures w14:val="none"/>
        </w:rPr>
        <w:t>4 534 20</w:t>
      </w:r>
      <w:r w:rsidR="001E7B00">
        <w:rPr>
          <w:rFonts w:ascii="Times New Roman" w:eastAsia="Times New Roman" w:hAnsi="Times New Roman" w:cs="Times New Roman"/>
          <w:color w:val="000000"/>
          <w:kern w:val="0"/>
          <w:lang w:eastAsia="lv-LV"/>
          <w14:ligatures w14:val="none"/>
        </w:rPr>
        <w:t>7</w:t>
      </w:r>
      <w:r w:rsidR="00B23202"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color w:val="000000"/>
          <w:kern w:val="0"/>
          <w:lang w:eastAsia="lv-LV"/>
          <w14:ligatures w14:val="none"/>
        </w:rPr>
        <w:t>) un faktiski atgūto summu (</w:t>
      </w:r>
      <w:r w:rsidR="00197917" w:rsidRPr="00F36B06">
        <w:rPr>
          <w:rFonts w:ascii="Times New Roman" w:eastAsia="Times New Roman" w:hAnsi="Times New Roman" w:cs="Times New Roman"/>
          <w:color w:val="000000"/>
          <w:kern w:val="0"/>
          <w:lang w:eastAsia="lv-LV"/>
          <w14:ligatures w14:val="none"/>
        </w:rPr>
        <w:t>541 190 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color w:val="000000"/>
          <w:kern w:val="0"/>
          <w:lang w:eastAsia="lv-LV"/>
          <w14:ligatures w14:val="none"/>
        </w:rPr>
        <w:t xml:space="preserve">) </w:t>
      </w:r>
      <w:r w:rsidR="00DF061D" w:rsidRPr="00F36B06">
        <w:rPr>
          <w:rFonts w:ascii="Times New Roman" w:eastAsia="Times New Roman" w:hAnsi="Times New Roman" w:cs="Times New Roman"/>
          <w:color w:val="000000"/>
          <w:kern w:val="0"/>
          <w:lang w:eastAsia="lv-LV"/>
          <w14:ligatures w14:val="none"/>
        </w:rPr>
        <w:t xml:space="preserve">ir </w:t>
      </w:r>
      <w:r w:rsidR="0088285F" w:rsidRPr="00F36B06">
        <w:rPr>
          <w:rFonts w:ascii="Times New Roman" w:eastAsia="Times New Roman" w:hAnsi="Times New Roman" w:cs="Times New Roman"/>
          <w:color w:val="000000"/>
          <w:kern w:val="0"/>
          <w:lang w:eastAsia="lv-LV"/>
          <w14:ligatures w14:val="none"/>
        </w:rPr>
        <w:t>3 993 01</w:t>
      </w:r>
      <w:r w:rsidR="001E7B00">
        <w:rPr>
          <w:rFonts w:ascii="Times New Roman" w:eastAsia="Times New Roman" w:hAnsi="Times New Roman" w:cs="Times New Roman"/>
          <w:color w:val="000000"/>
          <w:kern w:val="0"/>
          <w:lang w:eastAsia="lv-LV"/>
          <w14:ligatures w14:val="none"/>
        </w:rPr>
        <w:t>7</w:t>
      </w:r>
      <w:r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00EB662F" w:rsidRPr="00F36B06">
        <w:rPr>
          <w:rFonts w:ascii="Times New Roman" w:eastAsia="Times New Roman" w:hAnsi="Times New Roman" w:cs="Times New Roman"/>
          <w:color w:val="000000"/>
          <w:kern w:val="0"/>
          <w:lang w:eastAsia="lv-LV"/>
          <w14:ligatures w14:val="none"/>
        </w:rPr>
        <w:t xml:space="preserve">, </w:t>
      </w:r>
      <w:r w:rsidR="00973662">
        <w:rPr>
          <w:rFonts w:ascii="Times New Roman" w:eastAsia="Times New Roman" w:hAnsi="Times New Roman" w:cs="Times New Roman"/>
          <w:color w:val="000000"/>
          <w:kern w:val="0"/>
          <w:lang w:eastAsia="lv-LV"/>
          <w14:ligatures w14:val="none"/>
        </w:rPr>
        <w:t>t. i.</w:t>
      </w:r>
      <w:r w:rsidR="00EB662F" w:rsidRPr="00F36B06">
        <w:rPr>
          <w:rFonts w:ascii="Times New Roman" w:eastAsia="Times New Roman" w:hAnsi="Times New Roman" w:cs="Times New Roman"/>
          <w:color w:val="000000"/>
          <w:kern w:val="0"/>
          <w:lang w:eastAsia="lv-LV"/>
          <w14:ligatures w14:val="none"/>
        </w:rPr>
        <w:t xml:space="preserve">, </w:t>
      </w:r>
      <w:r w:rsidRPr="00F36B06">
        <w:rPr>
          <w:rFonts w:ascii="Times New Roman" w:eastAsia="Times New Roman" w:hAnsi="Times New Roman" w:cs="Times New Roman"/>
          <w:color w:val="000000"/>
          <w:kern w:val="0"/>
          <w:lang w:eastAsia="lv-LV"/>
          <w14:ligatures w14:val="none"/>
        </w:rPr>
        <w:t>valdes locekļi faktiski</w:t>
      </w:r>
      <w:r w:rsidR="00155B74" w:rsidRPr="00F36B06">
        <w:rPr>
          <w:rFonts w:ascii="Times New Roman" w:eastAsia="Times New Roman" w:hAnsi="Times New Roman" w:cs="Times New Roman"/>
          <w:color w:val="000000"/>
          <w:kern w:val="0"/>
          <w:lang w:eastAsia="lv-LV"/>
          <w14:ligatures w14:val="none"/>
        </w:rPr>
        <w:t xml:space="preserve"> un dalībnieki</w:t>
      </w:r>
      <w:r w:rsidRPr="00F36B06">
        <w:rPr>
          <w:rFonts w:ascii="Times New Roman" w:eastAsia="Times New Roman" w:hAnsi="Times New Roman" w:cs="Times New Roman"/>
          <w:color w:val="000000"/>
          <w:kern w:val="0"/>
          <w:lang w:eastAsia="lv-LV"/>
          <w14:ligatures w14:val="none"/>
        </w:rPr>
        <w:t xml:space="preserve"> ir seguši tikai </w:t>
      </w:r>
      <w:r w:rsidR="00B40248" w:rsidRPr="00F36B06">
        <w:rPr>
          <w:rFonts w:ascii="Times New Roman" w:eastAsia="Times New Roman" w:hAnsi="Times New Roman" w:cs="Times New Roman"/>
          <w:color w:val="000000"/>
          <w:kern w:val="0"/>
          <w:lang w:eastAsia="lv-LV"/>
          <w14:ligatures w14:val="none"/>
        </w:rPr>
        <w:t>11,94</w:t>
      </w:r>
      <w:r w:rsidR="00641EDA" w:rsidRPr="00F36B06">
        <w:rPr>
          <w:rFonts w:ascii="Times New Roman" w:eastAsia="Times New Roman" w:hAnsi="Times New Roman" w:cs="Times New Roman"/>
          <w:color w:val="000000"/>
          <w:kern w:val="0"/>
          <w:lang w:eastAsia="lv-LV"/>
          <w14:ligatures w14:val="none"/>
        </w:rPr>
        <w:t> </w:t>
      </w:r>
      <w:r w:rsidRPr="00F36B06">
        <w:rPr>
          <w:rFonts w:ascii="Times New Roman" w:eastAsia="Times New Roman" w:hAnsi="Times New Roman" w:cs="Times New Roman"/>
          <w:color w:val="000000"/>
          <w:kern w:val="0"/>
          <w:lang w:eastAsia="lv-LV"/>
          <w14:ligatures w14:val="none"/>
        </w:rPr>
        <w:t>% no viņu nodarītā kaitējuma</w:t>
      </w:r>
      <w:r w:rsidR="00753791" w:rsidRPr="00F36B06">
        <w:rPr>
          <w:rFonts w:ascii="Times New Roman" w:eastAsia="Times New Roman" w:hAnsi="Times New Roman" w:cs="Times New Roman"/>
          <w:color w:val="000000"/>
          <w:kern w:val="0"/>
          <w:lang w:eastAsia="lv-LV"/>
          <w14:ligatures w14:val="none"/>
        </w:rPr>
        <w:t xml:space="preserve"> (3. tabula)</w:t>
      </w:r>
      <w:r w:rsidRPr="00F36B06">
        <w:rPr>
          <w:rFonts w:ascii="Times New Roman" w:eastAsia="Times New Roman" w:hAnsi="Times New Roman" w:cs="Times New Roman"/>
          <w:color w:val="000000"/>
          <w:kern w:val="0"/>
          <w:lang w:eastAsia="lv-LV"/>
          <w14:ligatures w14:val="none"/>
        </w:rPr>
        <w:t>.</w:t>
      </w:r>
    </w:p>
    <w:p w14:paraId="1CC501F9" w14:textId="77777777" w:rsidR="00753791" w:rsidRPr="00F36B06" w:rsidRDefault="00753791" w:rsidP="002C27B5">
      <w:pPr>
        <w:spacing w:after="0" w:line="240" w:lineRule="auto"/>
        <w:ind w:firstLine="720"/>
        <w:jc w:val="both"/>
        <w:rPr>
          <w:rFonts w:ascii="Times New Roman" w:eastAsia="Times New Roman" w:hAnsi="Times New Roman" w:cs="Times New Roman"/>
          <w:color w:val="000000"/>
          <w:kern w:val="0"/>
          <w:lang w:eastAsia="lv-LV"/>
          <w14:ligatures w14:val="none"/>
        </w:rPr>
      </w:pPr>
    </w:p>
    <w:p w14:paraId="46247843" w14:textId="673DEA09" w:rsidR="00753791" w:rsidRPr="00F36B06" w:rsidRDefault="00753791" w:rsidP="00E12904">
      <w:pPr>
        <w:spacing w:after="0" w:line="240" w:lineRule="auto"/>
        <w:ind w:firstLine="720"/>
        <w:jc w:val="right"/>
        <w:rPr>
          <w:rFonts w:ascii="Times New Roman" w:eastAsia="Times New Roman" w:hAnsi="Times New Roman" w:cs="Times New Roman"/>
          <w:i/>
          <w:iCs/>
          <w:color w:val="000000"/>
          <w:kern w:val="0"/>
          <w:lang w:eastAsia="lv-LV"/>
          <w14:ligatures w14:val="none"/>
        </w:rPr>
      </w:pPr>
      <w:r w:rsidRPr="00F36B06">
        <w:rPr>
          <w:rFonts w:ascii="Times New Roman" w:eastAsia="Times New Roman" w:hAnsi="Times New Roman" w:cs="Times New Roman"/>
          <w:i/>
          <w:iCs/>
          <w:color w:val="000000"/>
          <w:kern w:val="0"/>
          <w:lang w:eastAsia="lv-LV"/>
          <w14:ligatures w14:val="none"/>
        </w:rPr>
        <w:t>3.</w:t>
      </w:r>
      <w:r w:rsidR="00E12904" w:rsidRPr="00F36B06">
        <w:rPr>
          <w:rFonts w:ascii="Times New Roman" w:eastAsia="Times New Roman" w:hAnsi="Times New Roman" w:cs="Times New Roman"/>
          <w:i/>
          <w:iCs/>
          <w:color w:val="000000"/>
          <w:kern w:val="0"/>
          <w:lang w:eastAsia="lv-LV"/>
          <w14:ligatures w14:val="none"/>
        </w:rPr>
        <w:t> </w:t>
      </w:r>
      <w:r w:rsidRPr="00F36B06">
        <w:rPr>
          <w:rFonts w:ascii="Times New Roman" w:eastAsia="Times New Roman" w:hAnsi="Times New Roman" w:cs="Times New Roman"/>
          <w:i/>
          <w:iCs/>
          <w:color w:val="000000"/>
          <w:kern w:val="0"/>
          <w:lang w:eastAsia="lv-LV"/>
          <w14:ligatures w14:val="none"/>
        </w:rPr>
        <w:t>tabula</w:t>
      </w:r>
    </w:p>
    <w:p w14:paraId="5023340A" w14:textId="4E657D51" w:rsidR="00E12904" w:rsidRPr="00F36B06" w:rsidRDefault="00E12904" w:rsidP="00E12904">
      <w:pPr>
        <w:spacing w:after="0" w:line="240" w:lineRule="auto"/>
        <w:jc w:val="center"/>
        <w:rPr>
          <w:rFonts w:ascii="Times New Roman" w:eastAsia="Times New Roman" w:hAnsi="Times New Roman" w:cs="Times New Roman"/>
          <w:b/>
          <w:bCs/>
          <w:color w:val="000000"/>
          <w:kern w:val="0"/>
          <w:lang w:eastAsia="lv-LV"/>
          <w14:ligatures w14:val="none"/>
        </w:rPr>
      </w:pPr>
      <w:bookmarkStart w:id="12" w:name="_Hlk197590412"/>
      <w:r w:rsidRPr="00F36B06">
        <w:rPr>
          <w:rFonts w:ascii="Times New Roman" w:eastAsia="Times New Roman" w:hAnsi="Times New Roman" w:cs="Times New Roman"/>
          <w:b/>
          <w:bCs/>
          <w:color w:val="000000"/>
          <w:kern w:val="0"/>
          <w:lang w:eastAsia="lv-LV"/>
          <w14:ligatures w14:val="none"/>
        </w:rPr>
        <w:t xml:space="preserve">Maksātnespējas procesu, kuros celtas un apmierinātas prasības, </w:t>
      </w:r>
      <w:r w:rsidRPr="00F36B06">
        <w:rPr>
          <w:rFonts w:ascii="Times New Roman" w:hAnsi="Times New Roman" w:cs="Times New Roman"/>
          <w:b/>
          <w:bCs/>
        </w:rPr>
        <w:t>pamatojoties uz Maksātnespējas likuma 72.</w:t>
      </w:r>
      <w:r w:rsidRPr="00F36B06">
        <w:rPr>
          <w:rFonts w:ascii="Times New Roman" w:hAnsi="Times New Roman" w:cs="Times New Roman"/>
          <w:b/>
          <w:bCs/>
          <w:vertAlign w:val="superscript"/>
        </w:rPr>
        <w:t>1</w:t>
      </w:r>
      <w:r w:rsidRPr="00F36B06">
        <w:rPr>
          <w:rFonts w:ascii="Times New Roman" w:hAnsi="Times New Roman" w:cs="Times New Roman"/>
          <w:b/>
          <w:bCs/>
        </w:rPr>
        <w:t> pantu</w:t>
      </w:r>
      <w:r w:rsidRPr="00F36B06">
        <w:rPr>
          <w:rFonts w:ascii="Times New Roman" w:eastAsia="Times New Roman" w:hAnsi="Times New Roman" w:cs="Times New Roman"/>
          <w:b/>
          <w:bCs/>
          <w:color w:val="000000"/>
          <w:kern w:val="0"/>
          <w:lang w:eastAsia="lv-LV"/>
          <w14:ligatures w14:val="none"/>
        </w:rPr>
        <w:t>, rezultatīvie rādītāji</w:t>
      </w:r>
    </w:p>
    <w:bookmarkEnd w:id="12"/>
    <w:p w14:paraId="71226901" w14:textId="77777777" w:rsidR="00E12904" w:rsidRPr="00F36B06" w:rsidRDefault="00E12904" w:rsidP="00E12904">
      <w:pPr>
        <w:spacing w:after="0" w:line="240" w:lineRule="auto"/>
        <w:ind w:firstLine="720"/>
        <w:jc w:val="right"/>
        <w:rPr>
          <w:rFonts w:ascii="Times New Roman" w:eastAsia="Times New Roman" w:hAnsi="Times New Roman" w:cs="Times New Roman"/>
          <w:color w:val="000000"/>
          <w:kern w:val="0"/>
          <w:lang w:eastAsia="lv-LV"/>
          <w14:ligatures w14:val="none"/>
        </w:rPr>
      </w:pPr>
    </w:p>
    <w:tbl>
      <w:tblPr>
        <w:tblStyle w:val="TableGrid1"/>
        <w:tblW w:w="9209" w:type="dxa"/>
        <w:tblInd w:w="0" w:type="dxa"/>
        <w:tblLook w:val="04A0" w:firstRow="1" w:lastRow="0" w:firstColumn="1" w:lastColumn="0" w:noHBand="0" w:noVBand="1"/>
      </w:tblPr>
      <w:tblGrid>
        <w:gridCol w:w="5807"/>
        <w:gridCol w:w="3402"/>
      </w:tblGrid>
      <w:tr w:rsidR="00753791" w:rsidRPr="00F36B06" w14:paraId="5AB5C560" w14:textId="77777777" w:rsidTr="007E5732">
        <w:tc>
          <w:tcPr>
            <w:tcW w:w="5807" w:type="dxa"/>
            <w:tcBorders>
              <w:top w:val="single" w:sz="4" w:space="0" w:color="auto"/>
              <w:left w:val="single" w:sz="4" w:space="0" w:color="auto"/>
              <w:bottom w:val="single" w:sz="4" w:space="0" w:color="auto"/>
              <w:right w:val="single" w:sz="4" w:space="0" w:color="auto"/>
            </w:tcBorders>
            <w:shd w:val="clear" w:color="auto" w:fill="B3E3FA"/>
            <w:hideMark/>
          </w:tcPr>
          <w:p w14:paraId="00266B79" w14:textId="77777777" w:rsidR="00753791" w:rsidRPr="00F36B06" w:rsidRDefault="00753791" w:rsidP="005C6150">
            <w:pPr>
              <w:jc w:val="center"/>
              <w:rPr>
                <w:rFonts w:ascii="Times New Roman" w:hAnsi="Times New Roman"/>
                <w:b/>
                <w:bCs/>
                <w:sz w:val="24"/>
                <w:szCs w:val="24"/>
                <w:lang w:val="lv-LV"/>
              </w:rPr>
            </w:pPr>
            <w:r w:rsidRPr="00F36B06">
              <w:rPr>
                <w:rFonts w:ascii="Times New Roman" w:hAnsi="Times New Roman"/>
                <w:b/>
                <w:bCs/>
                <w:sz w:val="24"/>
                <w:szCs w:val="24"/>
                <w:lang w:val="lv-LV"/>
              </w:rPr>
              <w:t>Rādītājs</w:t>
            </w:r>
          </w:p>
        </w:tc>
        <w:tc>
          <w:tcPr>
            <w:tcW w:w="3402" w:type="dxa"/>
            <w:tcBorders>
              <w:top w:val="single" w:sz="4" w:space="0" w:color="auto"/>
              <w:left w:val="single" w:sz="4" w:space="0" w:color="auto"/>
              <w:bottom w:val="single" w:sz="4" w:space="0" w:color="auto"/>
              <w:right w:val="single" w:sz="4" w:space="0" w:color="auto"/>
            </w:tcBorders>
            <w:shd w:val="clear" w:color="auto" w:fill="B3E3FA"/>
            <w:hideMark/>
          </w:tcPr>
          <w:p w14:paraId="5CF5BF39" w14:textId="05AEB74D" w:rsidR="00753791" w:rsidRPr="00F36B06" w:rsidRDefault="00753791" w:rsidP="005C6150">
            <w:pPr>
              <w:jc w:val="center"/>
              <w:rPr>
                <w:rFonts w:ascii="Times New Roman" w:hAnsi="Times New Roman"/>
                <w:b/>
                <w:bCs/>
                <w:sz w:val="24"/>
                <w:szCs w:val="24"/>
                <w:lang w:val="lv-LV"/>
              </w:rPr>
            </w:pPr>
            <w:r w:rsidRPr="00F36B06">
              <w:rPr>
                <w:rFonts w:ascii="Times New Roman" w:hAnsi="Times New Roman"/>
                <w:b/>
                <w:bCs/>
                <w:sz w:val="24"/>
                <w:szCs w:val="24"/>
                <w:lang w:val="lv-LV"/>
              </w:rPr>
              <w:t>Summa (</w:t>
            </w:r>
            <w:proofErr w:type="spellStart"/>
            <w:r w:rsidR="000A6BB7" w:rsidRPr="000A6BB7">
              <w:rPr>
                <w:rFonts w:ascii="Times New Roman" w:hAnsi="Times New Roman"/>
                <w:b/>
                <w:bCs/>
                <w:i/>
                <w:iCs/>
                <w:sz w:val="24"/>
                <w:szCs w:val="24"/>
                <w:lang w:val="lv-LV"/>
              </w:rPr>
              <w:t>euro</w:t>
            </w:r>
            <w:proofErr w:type="spellEnd"/>
            <w:r w:rsidRPr="00F36B06">
              <w:rPr>
                <w:rFonts w:ascii="Times New Roman" w:hAnsi="Times New Roman"/>
                <w:b/>
                <w:bCs/>
                <w:sz w:val="24"/>
                <w:szCs w:val="24"/>
                <w:lang w:val="lv-LV"/>
              </w:rPr>
              <w:t>)</w:t>
            </w:r>
          </w:p>
        </w:tc>
      </w:tr>
      <w:tr w:rsidR="00753791" w:rsidRPr="00F36B06" w14:paraId="7D2DD675"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0A61C9AC" w14:textId="77777777" w:rsidR="00753791" w:rsidRPr="00F36B06" w:rsidRDefault="00753791" w:rsidP="00753791">
            <w:pPr>
              <w:rPr>
                <w:rFonts w:ascii="Times New Roman" w:hAnsi="Times New Roman"/>
                <w:sz w:val="24"/>
                <w:szCs w:val="24"/>
                <w:lang w:val="lv-LV"/>
              </w:rPr>
            </w:pPr>
            <w:r w:rsidRPr="00F36B06">
              <w:rPr>
                <w:rFonts w:ascii="Times New Roman" w:hAnsi="Times New Roman"/>
                <w:sz w:val="24"/>
                <w:szCs w:val="24"/>
                <w:lang w:val="lv-LV"/>
              </w:rPr>
              <w:t>Atzītie kreditoru prasījumi</w:t>
            </w:r>
          </w:p>
        </w:tc>
        <w:tc>
          <w:tcPr>
            <w:tcW w:w="3402" w:type="dxa"/>
            <w:tcBorders>
              <w:top w:val="single" w:sz="4" w:space="0" w:color="auto"/>
              <w:left w:val="single" w:sz="4" w:space="0" w:color="auto"/>
              <w:bottom w:val="single" w:sz="4" w:space="0" w:color="auto"/>
              <w:right w:val="single" w:sz="4" w:space="0" w:color="auto"/>
            </w:tcBorders>
            <w:hideMark/>
          </w:tcPr>
          <w:p w14:paraId="64827E22" w14:textId="5AD68F10" w:rsidR="00753791" w:rsidRPr="00F36B06" w:rsidRDefault="00753791" w:rsidP="00AB4691">
            <w:pPr>
              <w:ind w:firstLine="664"/>
              <w:jc w:val="right"/>
              <w:rPr>
                <w:rFonts w:ascii="Times New Roman" w:hAnsi="Times New Roman"/>
                <w:sz w:val="24"/>
                <w:szCs w:val="24"/>
                <w:lang w:val="lv-LV"/>
              </w:rPr>
            </w:pPr>
            <w:r w:rsidRPr="00F36B06">
              <w:rPr>
                <w:rFonts w:ascii="Times New Roman" w:hAnsi="Times New Roman"/>
                <w:sz w:val="24"/>
                <w:szCs w:val="24"/>
                <w:lang w:val="lv-LV"/>
              </w:rPr>
              <w:t>4</w:t>
            </w:r>
            <w:r w:rsidR="00DF13E0" w:rsidRPr="00F36B06">
              <w:rPr>
                <w:rFonts w:ascii="Times New Roman" w:hAnsi="Times New Roman"/>
                <w:sz w:val="24"/>
                <w:szCs w:val="24"/>
                <w:lang w:val="lv-LV"/>
              </w:rPr>
              <w:t> </w:t>
            </w:r>
            <w:r w:rsidRPr="00F36B06">
              <w:rPr>
                <w:rFonts w:ascii="Times New Roman" w:hAnsi="Times New Roman"/>
                <w:sz w:val="24"/>
                <w:szCs w:val="24"/>
                <w:lang w:val="lv-LV"/>
              </w:rPr>
              <w:t>716</w:t>
            </w:r>
            <w:r w:rsidR="00DF13E0" w:rsidRPr="00F36B06">
              <w:rPr>
                <w:rFonts w:ascii="Times New Roman" w:hAnsi="Times New Roman"/>
                <w:sz w:val="24"/>
                <w:szCs w:val="24"/>
                <w:lang w:val="lv-LV"/>
              </w:rPr>
              <w:t> </w:t>
            </w:r>
            <w:r w:rsidRPr="00F36B06">
              <w:rPr>
                <w:rFonts w:ascii="Times New Roman" w:hAnsi="Times New Roman"/>
                <w:sz w:val="24"/>
                <w:szCs w:val="24"/>
                <w:lang w:val="lv-LV"/>
              </w:rPr>
              <w:t>887</w:t>
            </w:r>
          </w:p>
        </w:tc>
      </w:tr>
      <w:tr w:rsidR="00753791" w:rsidRPr="00F36B06" w14:paraId="50CF6E37"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62894D39" w14:textId="77777777" w:rsidR="00753791" w:rsidRPr="00F36B06" w:rsidRDefault="00753791" w:rsidP="00753791">
            <w:pPr>
              <w:rPr>
                <w:rFonts w:ascii="Times New Roman" w:hAnsi="Times New Roman"/>
                <w:sz w:val="24"/>
                <w:szCs w:val="24"/>
                <w:lang w:val="lv-LV"/>
              </w:rPr>
            </w:pPr>
            <w:r w:rsidRPr="00F36B06">
              <w:rPr>
                <w:rFonts w:ascii="Times New Roman" w:hAnsi="Times New Roman"/>
                <w:sz w:val="24"/>
                <w:szCs w:val="24"/>
                <w:lang w:val="lv-LV"/>
              </w:rPr>
              <w:t>Apmierinātie prasījumi</w:t>
            </w:r>
          </w:p>
        </w:tc>
        <w:tc>
          <w:tcPr>
            <w:tcW w:w="3402" w:type="dxa"/>
            <w:tcBorders>
              <w:top w:val="single" w:sz="4" w:space="0" w:color="auto"/>
              <w:left w:val="single" w:sz="4" w:space="0" w:color="auto"/>
              <w:bottom w:val="single" w:sz="4" w:space="0" w:color="auto"/>
              <w:right w:val="single" w:sz="4" w:space="0" w:color="auto"/>
            </w:tcBorders>
            <w:hideMark/>
          </w:tcPr>
          <w:p w14:paraId="48647453" w14:textId="48F95D3F" w:rsidR="00753791" w:rsidRPr="00F36B06" w:rsidRDefault="00753791" w:rsidP="00AB4691">
            <w:pPr>
              <w:ind w:firstLine="664"/>
              <w:jc w:val="right"/>
              <w:rPr>
                <w:rFonts w:ascii="Times New Roman" w:hAnsi="Times New Roman"/>
                <w:sz w:val="24"/>
                <w:szCs w:val="24"/>
                <w:lang w:val="lv-LV"/>
              </w:rPr>
            </w:pPr>
            <w:r w:rsidRPr="00F36B06">
              <w:rPr>
                <w:rFonts w:ascii="Times New Roman" w:hAnsi="Times New Roman"/>
                <w:sz w:val="24"/>
                <w:szCs w:val="24"/>
                <w:lang w:val="lv-LV"/>
              </w:rPr>
              <w:t>678</w:t>
            </w:r>
            <w:r w:rsidR="00DF13E0" w:rsidRPr="00F36B06">
              <w:rPr>
                <w:rFonts w:ascii="Times New Roman" w:hAnsi="Times New Roman"/>
                <w:sz w:val="24"/>
                <w:szCs w:val="24"/>
                <w:lang w:val="lv-LV"/>
              </w:rPr>
              <w:t> </w:t>
            </w:r>
            <w:r w:rsidRPr="00F36B06">
              <w:rPr>
                <w:rFonts w:ascii="Times New Roman" w:hAnsi="Times New Roman"/>
                <w:sz w:val="24"/>
                <w:szCs w:val="24"/>
                <w:lang w:val="lv-LV"/>
              </w:rPr>
              <w:t>59</w:t>
            </w:r>
            <w:r w:rsidR="001E7B00">
              <w:rPr>
                <w:rFonts w:ascii="Times New Roman" w:hAnsi="Times New Roman"/>
                <w:sz w:val="24"/>
                <w:szCs w:val="24"/>
                <w:lang w:val="lv-LV"/>
              </w:rPr>
              <w:t>6</w:t>
            </w:r>
          </w:p>
        </w:tc>
      </w:tr>
      <w:tr w:rsidR="00753791" w:rsidRPr="00F36B06" w14:paraId="1267C22C"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40C41A8F" w14:textId="77777777" w:rsidR="00753791" w:rsidRPr="00F36B06" w:rsidRDefault="00753791" w:rsidP="00753791">
            <w:pPr>
              <w:rPr>
                <w:rFonts w:ascii="Times New Roman" w:hAnsi="Times New Roman"/>
                <w:sz w:val="24"/>
                <w:szCs w:val="24"/>
                <w:lang w:val="lv-LV"/>
              </w:rPr>
            </w:pPr>
            <w:r w:rsidRPr="00F36B06">
              <w:rPr>
                <w:rFonts w:ascii="Times New Roman" w:hAnsi="Times New Roman"/>
                <w:b/>
                <w:sz w:val="24"/>
                <w:szCs w:val="24"/>
                <w:lang w:val="lv-LV"/>
              </w:rPr>
              <w:t>Kopējie kreditoru zaudējumi</w:t>
            </w:r>
          </w:p>
        </w:tc>
        <w:tc>
          <w:tcPr>
            <w:tcW w:w="3402" w:type="dxa"/>
            <w:tcBorders>
              <w:top w:val="single" w:sz="4" w:space="0" w:color="auto"/>
              <w:left w:val="single" w:sz="4" w:space="0" w:color="auto"/>
              <w:bottom w:val="single" w:sz="4" w:space="0" w:color="auto"/>
              <w:right w:val="single" w:sz="4" w:space="0" w:color="auto"/>
            </w:tcBorders>
            <w:hideMark/>
          </w:tcPr>
          <w:p w14:paraId="3E3BACFA" w14:textId="312C9808" w:rsidR="00753791" w:rsidRPr="00F36B06" w:rsidRDefault="00753791" w:rsidP="00AB4691">
            <w:pPr>
              <w:ind w:firstLine="664"/>
              <w:jc w:val="right"/>
              <w:rPr>
                <w:rFonts w:ascii="Times New Roman" w:hAnsi="Times New Roman"/>
                <w:sz w:val="24"/>
                <w:szCs w:val="24"/>
                <w:lang w:val="lv-LV"/>
              </w:rPr>
            </w:pPr>
            <w:r w:rsidRPr="00F36B06">
              <w:rPr>
                <w:rFonts w:ascii="Times New Roman" w:hAnsi="Times New Roman"/>
                <w:b/>
                <w:sz w:val="24"/>
                <w:szCs w:val="24"/>
                <w:lang w:val="lv-LV"/>
              </w:rPr>
              <w:t>4</w:t>
            </w:r>
            <w:r w:rsidR="00DF13E0" w:rsidRPr="00F36B06">
              <w:rPr>
                <w:rFonts w:ascii="Times New Roman" w:hAnsi="Times New Roman"/>
                <w:b/>
                <w:sz w:val="24"/>
                <w:szCs w:val="24"/>
                <w:lang w:val="lv-LV"/>
              </w:rPr>
              <w:t> </w:t>
            </w:r>
            <w:r w:rsidRPr="00F36B06">
              <w:rPr>
                <w:rFonts w:ascii="Times New Roman" w:hAnsi="Times New Roman"/>
                <w:b/>
                <w:sz w:val="24"/>
                <w:szCs w:val="24"/>
                <w:lang w:val="lv-LV"/>
              </w:rPr>
              <w:t>038</w:t>
            </w:r>
            <w:r w:rsidR="00DF13E0" w:rsidRPr="00F36B06">
              <w:rPr>
                <w:rFonts w:ascii="Times New Roman" w:hAnsi="Times New Roman"/>
                <w:b/>
                <w:sz w:val="24"/>
                <w:szCs w:val="24"/>
                <w:lang w:val="lv-LV"/>
              </w:rPr>
              <w:t> </w:t>
            </w:r>
            <w:r w:rsidRPr="00F36B06">
              <w:rPr>
                <w:rFonts w:ascii="Times New Roman" w:hAnsi="Times New Roman"/>
                <w:b/>
                <w:sz w:val="24"/>
                <w:szCs w:val="24"/>
                <w:lang w:val="lv-LV"/>
              </w:rPr>
              <w:t>29</w:t>
            </w:r>
            <w:r w:rsidR="00586234">
              <w:rPr>
                <w:rFonts w:ascii="Times New Roman" w:hAnsi="Times New Roman"/>
                <w:b/>
                <w:sz w:val="24"/>
                <w:szCs w:val="24"/>
                <w:lang w:val="lv-LV"/>
              </w:rPr>
              <w:t>2</w:t>
            </w:r>
          </w:p>
        </w:tc>
      </w:tr>
      <w:tr w:rsidR="00753791" w:rsidRPr="00F36B06" w14:paraId="17A76684"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3190D32C" w14:textId="5AC83B43" w:rsidR="00753791" w:rsidRPr="00F36B06" w:rsidRDefault="00753791" w:rsidP="00753791">
            <w:pPr>
              <w:rPr>
                <w:rFonts w:ascii="Times New Roman" w:hAnsi="Times New Roman"/>
                <w:sz w:val="24"/>
                <w:szCs w:val="24"/>
                <w:lang w:val="lv-LV"/>
              </w:rPr>
            </w:pPr>
            <w:r w:rsidRPr="00F36B06">
              <w:rPr>
                <w:rFonts w:ascii="Times New Roman" w:hAnsi="Times New Roman"/>
                <w:sz w:val="24"/>
                <w:szCs w:val="24"/>
                <w:lang w:val="lv-LV"/>
              </w:rPr>
              <w:t xml:space="preserve">Tiesas </w:t>
            </w:r>
            <w:r w:rsidR="0010462C" w:rsidRPr="00F36B06">
              <w:rPr>
                <w:rFonts w:ascii="Times New Roman" w:hAnsi="Times New Roman"/>
                <w:sz w:val="24"/>
                <w:szCs w:val="24"/>
                <w:lang w:val="lv-LV"/>
              </w:rPr>
              <w:t>piespriest</w:t>
            </w:r>
            <w:r w:rsidR="004B0F5D" w:rsidRPr="00F36B06">
              <w:rPr>
                <w:rFonts w:ascii="Times New Roman" w:hAnsi="Times New Roman"/>
                <w:sz w:val="24"/>
                <w:szCs w:val="24"/>
                <w:lang w:val="lv-LV"/>
              </w:rPr>
              <w:t>ie</w:t>
            </w:r>
            <w:r w:rsidRPr="00F36B06">
              <w:rPr>
                <w:rFonts w:ascii="Times New Roman" w:hAnsi="Times New Roman"/>
                <w:sz w:val="24"/>
                <w:szCs w:val="24"/>
                <w:lang w:val="lv-LV"/>
              </w:rPr>
              <w:t xml:space="preserve"> zaudējumi</w:t>
            </w:r>
          </w:p>
        </w:tc>
        <w:tc>
          <w:tcPr>
            <w:tcW w:w="3402" w:type="dxa"/>
            <w:tcBorders>
              <w:top w:val="single" w:sz="4" w:space="0" w:color="auto"/>
              <w:left w:val="single" w:sz="4" w:space="0" w:color="auto"/>
              <w:bottom w:val="single" w:sz="4" w:space="0" w:color="auto"/>
              <w:right w:val="single" w:sz="4" w:space="0" w:color="auto"/>
            </w:tcBorders>
            <w:hideMark/>
          </w:tcPr>
          <w:p w14:paraId="1C0219E0" w14:textId="737EA57D" w:rsidR="00753791" w:rsidRPr="00F36B06" w:rsidRDefault="00753791" w:rsidP="00AB4691">
            <w:pPr>
              <w:ind w:firstLine="664"/>
              <w:jc w:val="right"/>
              <w:rPr>
                <w:rFonts w:ascii="Times New Roman" w:hAnsi="Times New Roman"/>
                <w:sz w:val="24"/>
                <w:szCs w:val="24"/>
                <w:lang w:val="lv-LV"/>
              </w:rPr>
            </w:pPr>
            <w:r w:rsidRPr="00F36B06">
              <w:rPr>
                <w:rFonts w:ascii="Times New Roman" w:hAnsi="Times New Roman"/>
                <w:sz w:val="24"/>
                <w:szCs w:val="24"/>
                <w:lang w:val="lv-LV"/>
              </w:rPr>
              <w:t>4</w:t>
            </w:r>
            <w:r w:rsidR="00DF13E0" w:rsidRPr="00F36B06">
              <w:rPr>
                <w:rFonts w:ascii="Times New Roman" w:hAnsi="Times New Roman"/>
                <w:sz w:val="24"/>
                <w:szCs w:val="24"/>
                <w:lang w:val="lv-LV"/>
              </w:rPr>
              <w:t> </w:t>
            </w:r>
            <w:r w:rsidRPr="00F36B06">
              <w:rPr>
                <w:rFonts w:ascii="Times New Roman" w:hAnsi="Times New Roman"/>
                <w:sz w:val="24"/>
                <w:szCs w:val="24"/>
                <w:lang w:val="lv-LV"/>
              </w:rPr>
              <w:t>534</w:t>
            </w:r>
            <w:r w:rsidR="00DF13E0" w:rsidRPr="00F36B06">
              <w:rPr>
                <w:rFonts w:ascii="Times New Roman" w:hAnsi="Times New Roman"/>
                <w:sz w:val="24"/>
                <w:szCs w:val="24"/>
                <w:lang w:val="lv-LV"/>
              </w:rPr>
              <w:t> </w:t>
            </w:r>
            <w:r w:rsidRPr="00F36B06">
              <w:rPr>
                <w:rFonts w:ascii="Times New Roman" w:hAnsi="Times New Roman"/>
                <w:sz w:val="24"/>
                <w:szCs w:val="24"/>
                <w:lang w:val="lv-LV"/>
              </w:rPr>
              <w:t>20</w:t>
            </w:r>
            <w:r w:rsidR="00586234">
              <w:rPr>
                <w:rFonts w:ascii="Times New Roman" w:hAnsi="Times New Roman"/>
                <w:sz w:val="24"/>
                <w:szCs w:val="24"/>
                <w:lang w:val="lv-LV"/>
              </w:rPr>
              <w:t>7</w:t>
            </w:r>
          </w:p>
        </w:tc>
      </w:tr>
      <w:tr w:rsidR="00753791" w:rsidRPr="00F36B06" w14:paraId="7EB33F1F"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0C149C04" w14:textId="7D204A1D" w:rsidR="00753791" w:rsidRPr="00F36B06" w:rsidRDefault="00753791" w:rsidP="00753791">
            <w:pPr>
              <w:rPr>
                <w:rFonts w:ascii="Times New Roman" w:hAnsi="Times New Roman"/>
                <w:sz w:val="24"/>
                <w:szCs w:val="24"/>
                <w:lang w:val="lv-LV"/>
              </w:rPr>
            </w:pPr>
            <w:r w:rsidRPr="00F36B06">
              <w:rPr>
                <w:rFonts w:ascii="Times New Roman" w:hAnsi="Times New Roman"/>
                <w:sz w:val="24"/>
                <w:szCs w:val="24"/>
                <w:lang w:val="lv-LV"/>
              </w:rPr>
              <w:t>Faktiski atgūtā summa</w:t>
            </w:r>
          </w:p>
        </w:tc>
        <w:tc>
          <w:tcPr>
            <w:tcW w:w="3402" w:type="dxa"/>
            <w:tcBorders>
              <w:top w:val="single" w:sz="4" w:space="0" w:color="auto"/>
              <w:left w:val="single" w:sz="4" w:space="0" w:color="auto"/>
              <w:bottom w:val="single" w:sz="4" w:space="0" w:color="auto"/>
              <w:right w:val="single" w:sz="4" w:space="0" w:color="auto"/>
            </w:tcBorders>
            <w:hideMark/>
          </w:tcPr>
          <w:p w14:paraId="0DB1F290" w14:textId="36DD1050" w:rsidR="00753791" w:rsidRPr="00F36B06" w:rsidRDefault="00753791" w:rsidP="00AB4691">
            <w:pPr>
              <w:ind w:firstLine="664"/>
              <w:jc w:val="right"/>
              <w:rPr>
                <w:rFonts w:ascii="Times New Roman" w:hAnsi="Times New Roman"/>
                <w:sz w:val="24"/>
                <w:szCs w:val="24"/>
                <w:lang w:val="lv-LV"/>
              </w:rPr>
            </w:pPr>
            <w:r w:rsidRPr="00F36B06">
              <w:rPr>
                <w:rFonts w:ascii="Times New Roman" w:hAnsi="Times New Roman"/>
                <w:sz w:val="24"/>
                <w:szCs w:val="24"/>
                <w:lang w:val="lv-LV"/>
              </w:rPr>
              <w:t>541</w:t>
            </w:r>
            <w:r w:rsidR="00DF13E0" w:rsidRPr="00F36B06">
              <w:rPr>
                <w:rFonts w:ascii="Times New Roman" w:hAnsi="Times New Roman"/>
                <w:sz w:val="24"/>
                <w:szCs w:val="24"/>
                <w:lang w:val="lv-LV"/>
              </w:rPr>
              <w:t> </w:t>
            </w:r>
            <w:r w:rsidRPr="00F36B06">
              <w:rPr>
                <w:rFonts w:ascii="Times New Roman" w:hAnsi="Times New Roman"/>
                <w:sz w:val="24"/>
                <w:szCs w:val="24"/>
                <w:lang w:val="lv-LV"/>
              </w:rPr>
              <w:t>190</w:t>
            </w:r>
          </w:p>
        </w:tc>
      </w:tr>
      <w:tr w:rsidR="00753791" w:rsidRPr="00F36B06" w14:paraId="1B20C8A4"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3D898D09" w14:textId="77777777" w:rsidR="00753791" w:rsidRPr="00F36B06" w:rsidRDefault="00753791" w:rsidP="00753791">
            <w:pPr>
              <w:rPr>
                <w:rFonts w:ascii="Times New Roman" w:hAnsi="Times New Roman"/>
                <w:b/>
                <w:bCs/>
                <w:sz w:val="24"/>
                <w:szCs w:val="24"/>
                <w:lang w:val="lv-LV"/>
              </w:rPr>
            </w:pPr>
            <w:r w:rsidRPr="00F36B06">
              <w:rPr>
                <w:rFonts w:ascii="Times New Roman" w:hAnsi="Times New Roman"/>
                <w:b/>
                <w:bCs/>
                <w:sz w:val="24"/>
                <w:szCs w:val="24"/>
                <w:lang w:val="lv-LV"/>
              </w:rPr>
              <w:lastRenderedPageBreak/>
              <w:t>Valdes/dalībnieku nesegtie zaudējumi</w:t>
            </w:r>
          </w:p>
        </w:tc>
        <w:tc>
          <w:tcPr>
            <w:tcW w:w="3402" w:type="dxa"/>
            <w:tcBorders>
              <w:top w:val="single" w:sz="4" w:space="0" w:color="auto"/>
              <w:left w:val="single" w:sz="4" w:space="0" w:color="auto"/>
              <w:bottom w:val="single" w:sz="4" w:space="0" w:color="auto"/>
              <w:right w:val="single" w:sz="4" w:space="0" w:color="auto"/>
            </w:tcBorders>
            <w:hideMark/>
          </w:tcPr>
          <w:p w14:paraId="60F46703" w14:textId="18E4BAA2" w:rsidR="00753791" w:rsidRPr="00F36B06" w:rsidRDefault="00753791" w:rsidP="00586234">
            <w:pPr>
              <w:ind w:firstLine="664"/>
              <w:jc w:val="right"/>
              <w:rPr>
                <w:rFonts w:ascii="Times New Roman" w:hAnsi="Times New Roman"/>
                <w:b/>
                <w:bCs/>
                <w:sz w:val="24"/>
                <w:szCs w:val="24"/>
                <w:lang w:val="lv-LV"/>
              </w:rPr>
            </w:pPr>
            <w:r w:rsidRPr="00F36B06">
              <w:rPr>
                <w:rFonts w:ascii="Times New Roman" w:hAnsi="Times New Roman"/>
                <w:b/>
                <w:bCs/>
                <w:sz w:val="24"/>
                <w:szCs w:val="24"/>
                <w:lang w:val="lv-LV"/>
              </w:rPr>
              <w:t>3</w:t>
            </w:r>
            <w:r w:rsidR="00DF13E0" w:rsidRPr="00F36B06">
              <w:rPr>
                <w:rFonts w:ascii="Times New Roman" w:hAnsi="Times New Roman"/>
                <w:b/>
                <w:bCs/>
                <w:sz w:val="24"/>
                <w:szCs w:val="24"/>
                <w:lang w:val="lv-LV"/>
              </w:rPr>
              <w:t> </w:t>
            </w:r>
            <w:r w:rsidRPr="00F36B06">
              <w:rPr>
                <w:rFonts w:ascii="Times New Roman" w:hAnsi="Times New Roman"/>
                <w:b/>
                <w:bCs/>
                <w:sz w:val="24"/>
                <w:szCs w:val="24"/>
                <w:lang w:val="lv-LV"/>
              </w:rPr>
              <w:t>993</w:t>
            </w:r>
            <w:r w:rsidR="00DF13E0" w:rsidRPr="00F36B06">
              <w:rPr>
                <w:rFonts w:ascii="Times New Roman" w:hAnsi="Times New Roman"/>
                <w:b/>
                <w:bCs/>
                <w:sz w:val="24"/>
                <w:szCs w:val="24"/>
                <w:lang w:val="lv-LV"/>
              </w:rPr>
              <w:t> </w:t>
            </w:r>
            <w:r w:rsidRPr="00F36B06">
              <w:rPr>
                <w:rFonts w:ascii="Times New Roman" w:hAnsi="Times New Roman"/>
                <w:b/>
                <w:bCs/>
                <w:sz w:val="24"/>
                <w:szCs w:val="24"/>
                <w:lang w:val="lv-LV"/>
              </w:rPr>
              <w:t>01</w:t>
            </w:r>
            <w:r w:rsidR="00586234">
              <w:rPr>
                <w:rFonts w:ascii="Times New Roman" w:hAnsi="Times New Roman"/>
                <w:b/>
                <w:bCs/>
                <w:sz w:val="24"/>
                <w:szCs w:val="24"/>
                <w:lang w:val="lv-LV"/>
              </w:rPr>
              <w:t>7</w:t>
            </w:r>
          </w:p>
        </w:tc>
      </w:tr>
      <w:tr w:rsidR="00753791" w:rsidRPr="00F36B06" w14:paraId="0E26A078" w14:textId="77777777" w:rsidTr="00242018">
        <w:trPr>
          <w:trHeight w:val="340"/>
        </w:trPr>
        <w:tc>
          <w:tcPr>
            <w:tcW w:w="5807" w:type="dxa"/>
            <w:tcBorders>
              <w:top w:val="single" w:sz="4" w:space="0" w:color="auto"/>
              <w:left w:val="single" w:sz="4" w:space="0" w:color="auto"/>
              <w:bottom w:val="single" w:sz="4" w:space="0" w:color="auto"/>
              <w:right w:val="single" w:sz="4" w:space="0" w:color="auto"/>
            </w:tcBorders>
            <w:hideMark/>
          </w:tcPr>
          <w:p w14:paraId="53BDFA4B" w14:textId="7A30787B" w:rsidR="00753791" w:rsidRPr="00F36B06" w:rsidRDefault="00753791" w:rsidP="00753791">
            <w:pPr>
              <w:rPr>
                <w:rFonts w:ascii="Times New Roman" w:hAnsi="Times New Roman"/>
                <w:sz w:val="24"/>
                <w:szCs w:val="24"/>
                <w:lang w:val="lv-LV"/>
              </w:rPr>
            </w:pPr>
            <w:r w:rsidRPr="00F36B06">
              <w:rPr>
                <w:rFonts w:ascii="Times New Roman" w:hAnsi="Times New Roman"/>
                <w:b/>
                <w:sz w:val="24"/>
                <w:szCs w:val="24"/>
                <w:lang w:val="lv-LV"/>
              </w:rPr>
              <w:t xml:space="preserve">Faktiski </w:t>
            </w:r>
            <w:r w:rsidR="00A32C65" w:rsidRPr="00F36B06">
              <w:rPr>
                <w:rFonts w:ascii="Times New Roman" w:hAnsi="Times New Roman"/>
                <w:b/>
                <w:sz w:val="24"/>
                <w:szCs w:val="24"/>
                <w:lang w:val="lv-LV"/>
              </w:rPr>
              <w:t>segtie zaudējumi</w:t>
            </w:r>
            <w:r w:rsidRPr="00F36B06">
              <w:rPr>
                <w:rFonts w:ascii="Times New Roman" w:hAnsi="Times New Roman"/>
                <w:b/>
                <w:sz w:val="24"/>
                <w:szCs w:val="24"/>
                <w:lang w:val="lv-LV"/>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A37EA5C" w14:textId="19D885F6" w:rsidR="00753791" w:rsidRPr="00F36B06" w:rsidRDefault="00753791" w:rsidP="00586234">
            <w:pPr>
              <w:ind w:firstLine="664"/>
              <w:jc w:val="right"/>
              <w:rPr>
                <w:rFonts w:ascii="Times New Roman" w:hAnsi="Times New Roman"/>
                <w:sz w:val="24"/>
                <w:szCs w:val="24"/>
                <w:lang w:val="lv-LV"/>
              </w:rPr>
            </w:pPr>
            <w:r w:rsidRPr="00F36B06">
              <w:rPr>
                <w:rFonts w:ascii="Times New Roman" w:hAnsi="Times New Roman"/>
                <w:b/>
                <w:sz w:val="24"/>
                <w:szCs w:val="24"/>
                <w:lang w:val="lv-LV"/>
              </w:rPr>
              <w:t>11,94</w:t>
            </w:r>
          </w:p>
        </w:tc>
      </w:tr>
    </w:tbl>
    <w:p w14:paraId="7E50C848" w14:textId="77777777" w:rsidR="00DF13E0" w:rsidRPr="00F36B06" w:rsidRDefault="00DF13E0" w:rsidP="007C59EA">
      <w:pPr>
        <w:spacing w:after="0" w:line="240" w:lineRule="auto"/>
        <w:ind w:firstLine="720"/>
        <w:jc w:val="both"/>
        <w:rPr>
          <w:rFonts w:ascii="Times New Roman" w:hAnsi="Times New Roman" w:cs="Times New Roman"/>
        </w:rPr>
      </w:pPr>
    </w:p>
    <w:p w14:paraId="097ADC44" w14:textId="3546F5CF" w:rsidR="00C11E57" w:rsidRPr="00F36B06" w:rsidRDefault="007B6D58" w:rsidP="007C59E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Ņemot vērā </w:t>
      </w:r>
      <w:r w:rsidR="006B02FE" w:rsidRPr="00F36B06">
        <w:rPr>
          <w:rFonts w:ascii="Times New Roman" w:hAnsi="Times New Roman" w:cs="Times New Roman"/>
        </w:rPr>
        <w:t xml:space="preserve">zaudējumu atlīdzības prasību par dokumentu </w:t>
      </w:r>
      <w:r w:rsidR="00817AA6" w:rsidRPr="00F36B06">
        <w:rPr>
          <w:rFonts w:ascii="Times New Roman" w:hAnsi="Times New Roman" w:cs="Times New Roman"/>
        </w:rPr>
        <w:t xml:space="preserve">nenodošanu </w:t>
      </w:r>
      <w:r w:rsidR="00641EDA" w:rsidRPr="00F36B06">
        <w:rPr>
          <w:rFonts w:ascii="Times New Roman" w:hAnsi="Times New Roman" w:cs="Times New Roman"/>
        </w:rPr>
        <w:t xml:space="preserve">zemo </w:t>
      </w:r>
      <w:r w:rsidR="007316EE" w:rsidRPr="00F36B06">
        <w:rPr>
          <w:rFonts w:ascii="Times New Roman" w:hAnsi="Times New Roman" w:cs="Times New Roman"/>
        </w:rPr>
        <w:t>efektivitāti, īpašu noz</w:t>
      </w:r>
      <w:r w:rsidR="00BA732B" w:rsidRPr="00F36B06">
        <w:rPr>
          <w:rFonts w:ascii="Times New Roman" w:hAnsi="Times New Roman" w:cs="Times New Roman"/>
        </w:rPr>
        <w:t xml:space="preserve">īmi iegūst </w:t>
      </w:r>
      <w:r w:rsidR="002D2C81" w:rsidRPr="00F36B06">
        <w:rPr>
          <w:rFonts w:ascii="Times New Roman" w:hAnsi="Times New Roman" w:cs="Times New Roman"/>
        </w:rPr>
        <w:t>administratīvā</w:t>
      </w:r>
      <w:r w:rsidR="00731BB0" w:rsidRPr="00F36B06">
        <w:rPr>
          <w:rFonts w:ascii="Times New Roman" w:hAnsi="Times New Roman" w:cs="Times New Roman"/>
        </w:rPr>
        <w:t>s</w:t>
      </w:r>
      <w:r w:rsidR="002D2C81" w:rsidRPr="00F36B06">
        <w:rPr>
          <w:rFonts w:ascii="Times New Roman" w:hAnsi="Times New Roman" w:cs="Times New Roman"/>
        </w:rPr>
        <w:t xml:space="preserve"> atbildība</w:t>
      </w:r>
      <w:r w:rsidR="00731BB0" w:rsidRPr="00F36B06">
        <w:rPr>
          <w:rFonts w:ascii="Times New Roman" w:hAnsi="Times New Roman" w:cs="Times New Roman"/>
        </w:rPr>
        <w:t>s institūts</w:t>
      </w:r>
      <w:r w:rsidR="002D2C81" w:rsidRPr="00F36B06">
        <w:rPr>
          <w:rFonts w:ascii="Times New Roman" w:hAnsi="Times New Roman" w:cs="Times New Roman"/>
        </w:rPr>
        <w:t xml:space="preserve">. Lai arī </w:t>
      </w:r>
      <w:r w:rsidR="00CF6CDD" w:rsidRPr="00F36B06">
        <w:rPr>
          <w:rFonts w:ascii="Times New Roman" w:hAnsi="Times New Roman" w:cs="Times New Roman"/>
        </w:rPr>
        <w:t xml:space="preserve">administratīvās atbildības </w:t>
      </w:r>
      <w:r w:rsidR="00FD45B6" w:rsidRPr="00F36B06">
        <w:rPr>
          <w:rFonts w:ascii="Times New Roman" w:hAnsi="Times New Roman" w:cs="Times New Roman"/>
        </w:rPr>
        <w:t xml:space="preserve">piemērošanas </w:t>
      </w:r>
      <w:r w:rsidR="00CF6CDD" w:rsidRPr="00F36B06">
        <w:rPr>
          <w:rFonts w:ascii="Times New Roman" w:hAnsi="Times New Roman" w:cs="Times New Roman"/>
        </w:rPr>
        <w:t xml:space="preserve">rezultātā </w:t>
      </w:r>
      <w:r w:rsidR="00865B0A" w:rsidRPr="00F36B06">
        <w:rPr>
          <w:rFonts w:ascii="Times New Roman" w:hAnsi="Times New Roman" w:cs="Times New Roman"/>
        </w:rPr>
        <w:t>par</w:t>
      </w:r>
      <w:r w:rsidR="004B557F" w:rsidRPr="00F36B06">
        <w:rPr>
          <w:rFonts w:ascii="Times New Roman" w:hAnsi="Times New Roman" w:cs="Times New Roman"/>
        </w:rPr>
        <w:t>ādnieka mantā neiekļaujas papildu finanšu līdzekļi, kas var tikt novirzīti kreditoru prasījumu apmierināšanai</w:t>
      </w:r>
      <w:r w:rsidR="00C61756" w:rsidRPr="00F36B06">
        <w:rPr>
          <w:rFonts w:ascii="Times New Roman" w:hAnsi="Times New Roman" w:cs="Times New Roman"/>
        </w:rPr>
        <w:t>, tai ir būtisk</w:t>
      </w:r>
      <w:r w:rsidR="00DF341A" w:rsidRPr="00F36B06">
        <w:rPr>
          <w:rFonts w:ascii="Times New Roman" w:hAnsi="Times New Roman" w:cs="Times New Roman"/>
        </w:rPr>
        <w:t>a</w:t>
      </w:r>
      <w:r w:rsidR="000E4C73" w:rsidRPr="00F36B06">
        <w:rPr>
          <w:rFonts w:ascii="Times New Roman" w:hAnsi="Times New Roman" w:cs="Times New Roman"/>
        </w:rPr>
        <w:t xml:space="preserve"> nozīme </w:t>
      </w:r>
      <w:r w:rsidR="0051318D" w:rsidRPr="00F36B06">
        <w:rPr>
          <w:rFonts w:ascii="Times New Roman" w:hAnsi="Times New Roman" w:cs="Times New Roman"/>
        </w:rPr>
        <w:t>sabiedriskās kārtības aizsardzībā, taisnīgum</w:t>
      </w:r>
      <w:r w:rsidR="006729BC" w:rsidRPr="00F36B06">
        <w:rPr>
          <w:rFonts w:ascii="Times New Roman" w:hAnsi="Times New Roman" w:cs="Times New Roman"/>
        </w:rPr>
        <w:t xml:space="preserve">a atjaunošanā un administratīvo pārkāpumu </w:t>
      </w:r>
      <w:proofErr w:type="spellStart"/>
      <w:r w:rsidR="006729BC" w:rsidRPr="00F36B06">
        <w:rPr>
          <w:rFonts w:ascii="Times New Roman" w:hAnsi="Times New Roman" w:cs="Times New Roman"/>
        </w:rPr>
        <w:t>prevencijā</w:t>
      </w:r>
      <w:proofErr w:type="spellEnd"/>
      <w:r w:rsidR="006729BC" w:rsidRPr="00F36B06">
        <w:rPr>
          <w:rFonts w:ascii="Times New Roman" w:hAnsi="Times New Roman" w:cs="Times New Roman"/>
        </w:rPr>
        <w:t>.</w:t>
      </w:r>
      <w:r w:rsidR="00E8708D" w:rsidRPr="00F36B06">
        <w:rPr>
          <w:rFonts w:ascii="Times New Roman" w:hAnsi="Times New Roman" w:cs="Times New Roman"/>
        </w:rPr>
        <w:t xml:space="preserve"> Jāvērš uzmanība</w:t>
      </w:r>
      <w:r w:rsidR="00DF341A" w:rsidRPr="00F36B06">
        <w:rPr>
          <w:rFonts w:ascii="Times New Roman" w:hAnsi="Times New Roman" w:cs="Times New Roman"/>
        </w:rPr>
        <w:t>, ka</w:t>
      </w:r>
      <w:r w:rsidR="00E8708D" w:rsidRPr="00F36B06">
        <w:rPr>
          <w:rFonts w:ascii="Times New Roman" w:hAnsi="Times New Roman" w:cs="Times New Roman"/>
        </w:rPr>
        <w:t xml:space="preserve"> 17 no šiem maksātnespējas procesiem paralēli ir piemērota arī administratīvā atbildība par dokumentu nenodošanu.</w:t>
      </w:r>
      <w:r w:rsidR="00E8708D" w:rsidRPr="00F36B06">
        <w:rPr>
          <w:rStyle w:val="FootnoteReference"/>
          <w:rFonts w:ascii="Times New Roman" w:hAnsi="Times New Roman" w:cs="Times New Roman"/>
        </w:rPr>
        <w:footnoteReference w:id="45"/>
      </w:r>
      <w:r w:rsidR="00E8708D" w:rsidRPr="00F36B06">
        <w:rPr>
          <w:rFonts w:ascii="Times New Roman" w:hAnsi="Times New Roman" w:cs="Times New Roman"/>
        </w:rPr>
        <w:t xml:space="preserve"> </w:t>
      </w:r>
    </w:p>
    <w:p w14:paraId="004FC561" w14:textId="0B6A8B7A" w:rsidR="007C59EA" w:rsidRPr="00F36B06" w:rsidRDefault="00EB2E9D" w:rsidP="007C59E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Saskaņā ar Maksātnespējas likuma 68. pantu </w:t>
      </w:r>
      <w:r w:rsidR="00B53A53" w:rsidRPr="00F36B06">
        <w:rPr>
          <w:rFonts w:ascii="Times New Roman" w:hAnsi="Times New Roman" w:cs="Times New Roman"/>
        </w:rPr>
        <w:t xml:space="preserve">lēmumu par parādnieka pārstāvja </w:t>
      </w:r>
      <w:r w:rsidR="00160D4D" w:rsidRPr="00F36B06">
        <w:rPr>
          <w:rFonts w:ascii="Times New Roman" w:hAnsi="Times New Roman" w:cs="Times New Roman"/>
        </w:rPr>
        <w:t xml:space="preserve">iecelšanu </w:t>
      </w:r>
      <w:r w:rsidR="00621142" w:rsidRPr="00F36B06">
        <w:rPr>
          <w:rFonts w:ascii="Times New Roman" w:hAnsi="Times New Roman" w:cs="Times New Roman"/>
        </w:rPr>
        <w:t>pieņem ad</w:t>
      </w:r>
      <w:r w:rsidR="004D235E" w:rsidRPr="00F36B06">
        <w:rPr>
          <w:rFonts w:ascii="Times New Roman" w:hAnsi="Times New Roman" w:cs="Times New Roman"/>
        </w:rPr>
        <w:t>ministrators</w:t>
      </w:r>
      <w:r w:rsidR="008A40F7" w:rsidRPr="00F36B06">
        <w:rPr>
          <w:rFonts w:ascii="Times New Roman" w:hAnsi="Times New Roman" w:cs="Times New Roman"/>
        </w:rPr>
        <w:t xml:space="preserve">, turklāt </w:t>
      </w:r>
      <w:r w:rsidR="00F700EB" w:rsidRPr="00F36B06">
        <w:rPr>
          <w:rFonts w:ascii="Times New Roman" w:hAnsi="Times New Roman" w:cs="Times New Roman"/>
        </w:rPr>
        <w:t>attiecīgajā normā ir noteikta secība</w:t>
      </w:r>
      <w:r w:rsidR="005B1A15" w:rsidRPr="00F36B06">
        <w:rPr>
          <w:rFonts w:ascii="Times New Roman" w:hAnsi="Times New Roman" w:cs="Times New Roman"/>
        </w:rPr>
        <w:t>, kas administratoram jāņem vērā</w:t>
      </w:r>
      <w:r w:rsidR="00F36531" w:rsidRPr="00F36B06">
        <w:rPr>
          <w:rFonts w:ascii="Times New Roman" w:hAnsi="Times New Roman" w:cs="Times New Roman"/>
        </w:rPr>
        <w:t>, nosakot parādnieka pārstāvi</w:t>
      </w:r>
      <w:r w:rsidR="00073A98" w:rsidRPr="00F36B06">
        <w:rPr>
          <w:rFonts w:ascii="Times New Roman" w:hAnsi="Times New Roman" w:cs="Times New Roman"/>
        </w:rPr>
        <w:t>. P</w:t>
      </w:r>
      <w:r w:rsidR="0081319B" w:rsidRPr="00F36B06">
        <w:rPr>
          <w:rFonts w:ascii="Times New Roman" w:hAnsi="Times New Roman" w:cs="Times New Roman"/>
        </w:rPr>
        <w:t xml:space="preserve">rimāri par parādnieka pārstāvi </w:t>
      </w:r>
      <w:r w:rsidR="007C59EA" w:rsidRPr="00F36B06">
        <w:rPr>
          <w:rFonts w:ascii="Times New Roman" w:hAnsi="Times New Roman" w:cs="Times New Roman"/>
        </w:rPr>
        <w:t>ir ieceļams izpildinstitūcijas loceklis, kurš ir tiesīgs pārstāvēt parādnieku atsevišķi</w:t>
      </w:r>
      <w:r w:rsidR="00820BC1" w:rsidRPr="00F36B06">
        <w:rPr>
          <w:rFonts w:ascii="Times New Roman" w:hAnsi="Times New Roman" w:cs="Times New Roman"/>
        </w:rPr>
        <w:t>, j</w:t>
      </w:r>
      <w:r w:rsidR="005D3804" w:rsidRPr="00F36B06">
        <w:rPr>
          <w:rFonts w:ascii="Times New Roman" w:hAnsi="Times New Roman" w:cs="Times New Roman"/>
        </w:rPr>
        <w:t xml:space="preserve">a objektīvu iemeslu dēļ </w:t>
      </w:r>
      <w:r w:rsidR="00BA48D4" w:rsidRPr="00F36B06">
        <w:rPr>
          <w:rFonts w:ascii="Times New Roman" w:hAnsi="Times New Roman" w:cs="Times New Roman"/>
        </w:rPr>
        <w:t xml:space="preserve">šo personu </w:t>
      </w:r>
      <w:r w:rsidR="00BF5336" w:rsidRPr="00F36B06">
        <w:rPr>
          <w:rFonts w:ascii="Times New Roman" w:hAnsi="Times New Roman" w:cs="Times New Roman"/>
        </w:rPr>
        <w:t xml:space="preserve">nav iespējams </w:t>
      </w:r>
      <w:r w:rsidR="007A33F0" w:rsidRPr="00F36B06">
        <w:rPr>
          <w:rFonts w:ascii="Times New Roman" w:hAnsi="Times New Roman" w:cs="Times New Roman"/>
        </w:rPr>
        <w:t xml:space="preserve">iecelt, par parādnieka pārstāvi ir ieceļams </w:t>
      </w:r>
      <w:r w:rsidR="007C59EA" w:rsidRPr="00F36B06">
        <w:rPr>
          <w:rFonts w:ascii="Times New Roman" w:hAnsi="Times New Roman" w:cs="Times New Roman"/>
        </w:rPr>
        <w:t>cits izpildinstitūcijas loceklis</w:t>
      </w:r>
      <w:r w:rsidR="002A74D2" w:rsidRPr="00F36B06">
        <w:rPr>
          <w:rFonts w:ascii="Times New Roman" w:hAnsi="Times New Roman" w:cs="Times New Roman"/>
        </w:rPr>
        <w:t xml:space="preserve">, tad </w:t>
      </w:r>
      <w:r w:rsidR="007C59EA" w:rsidRPr="00F36B06">
        <w:rPr>
          <w:rFonts w:ascii="Times New Roman" w:hAnsi="Times New Roman" w:cs="Times New Roman"/>
        </w:rPr>
        <w:t>pārraudzības institūcijas vadītājs</w:t>
      </w:r>
      <w:r w:rsidR="008F5992" w:rsidRPr="00F36B06">
        <w:rPr>
          <w:rFonts w:ascii="Times New Roman" w:hAnsi="Times New Roman" w:cs="Times New Roman"/>
        </w:rPr>
        <w:t xml:space="preserve"> vai </w:t>
      </w:r>
      <w:r w:rsidR="007C59EA" w:rsidRPr="00F36B06">
        <w:rPr>
          <w:rFonts w:ascii="Times New Roman" w:hAnsi="Times New Roman" w:cs="Times New Roman"/>
        </w:rPr>
        <w:t>cits pārraudzības institūcijas loceklis</w:t>
      </w:r>
      <w:r w:rsidR="008F5992" w:rsidRPr="00F36B06">
        <w:rPr>
          <w:rFonts w:ascii="Times New Roman" w:hAnsi="Times New Roman" w:cs="Times New Roman"/>
        </w:rPr>
        <w:t xml:space="preserve"> un tikai pēc tam </w:t>
      </w:r>
      <w:r w:rsidR="007C59EA" w:rsidRPr="00F36B06">
        <w:rPr>
          <w:rFonts w:ascii="Times New Roman" w:hAnsi="Times New Roman" w:cs="Times New Roman"/>
        </w:rPr>
        <w:t>dalībnieks (akcionārs), kuram ir lielākais balsu skaits.</w:t>
      </w:r>
      <w:r w:rsidR="00B61988" w:rsidRPr="00F36B06">
        <w:rPr>
          <w:rFonts w:ascii="Times New Roman" w:hAnsi="Times New Roman" w:cs="Times New Roman"/>
        </w:rPr>
        <w:t xml:space="preserve"> Praksē lielākajā </w:t>
      </w:r>
      <w:r w:rsidR="00216760" w:rsidRPr="00F36B06">
        <w:rPr>
          <w:rFonts w:ascii="Times New Roman" w:hAnsi="Times New Roman" w:cs="Times New Roman"/>
        </w:rPr>
        <w:t>daļā gadījumu par p</w:t>
      </w:r>
      <w:r w:rsidR="00D36C73" w:rsidRPr="00F36B06">
        <w:rPr>
          <w:rFonts w:ascii="Times New Roman" w:hAnsi="Times New Roman" w:cs="Times New Roman"/>
        </w:rPr>
        <w:t>arādnieka pārstāvi tiek iecelti tieši valdes locekļi.</w:t>
      </w:r>
    </w:p>
    <w:p w14:paraId="23A62DFB" w14:textId="25E4BA6E" w:rsidR="00097A30" w:rsidRPr="00F36B06" w:rsidRDefault="00EB2E9D" w:rsidP="00097A30">
      <w:pPr>
        <w:spacing w:after="0" w:line="240" w:lineRule="auto"/>
        <w:ind w:firstLine="720"/>
        <w:jc w:val="both"/>
        <w:rPr>
          <w:rFonts w:ascii="Times New Roman" w:hAnsi="Times New Roman" w:cs="Times New Roman"/>
        </w:rPr>
      </w:pPr>
      <w:r w:rsidRPr="00F36B06">
        <w:rPr>
          <w:rFonts w:ascii="Times New Roman" w:hAnsi="Times New Roman" w:cs="Times New Roman"/>
        </w:rPr>
        <w:t>Atbilstoši</w:t>
      </w:r>
      <w:r w:rsidR="009024C3" w:rsidRPr="00F36B06">
        <w:rPr>
          <w:rFonts w:ascii="Times New Roman" w:hAnsi="Times New Roman" w:cs="Times New Roman"/>
        </w:rPr>
        <w:t xml:space="preserve"> Maksātnespējas </w:t>
      </w:r>
      <w:r w:rsidR="00C83CAB" w:rsidRPr="00F36B06">
        <w:rPr>
          <w:rFonts w:ascii="Times New Roman" w:hAnsi="Times New Roman" w:cs="Times New Roman"/>
        </w:rPr>
        <w:t>likuma 70. pant</w:t>
      </w:r>
      <w:r w:rsidRPr="00F36B06">
        <w:rPr>
          <w:rFonts w:ascii="Times New Roman" w:hAnsi="Times New Roman" w:cs="Times New Roman"/>
        </w:rPr>
        <w:t>am</w:t>
      </w:r>
      <w:r w:rsidR="00C83CAB" w:rsidRPr="00F36B06">
        <w:rPr>
          <w:rFonts w:ascii="Times New Roman" w:hAnsi="Times New Roman" w:cs="Times New Roman"/>
        </w:rPr>
        <w:t xml:space="preserve"> </w:t>
      </w:r>
      <w:r w:rsidR="00470085" w:rsidRPr="00F36B06">
        <w:rPr>
          <w:rFonts w:ascii="Times New Roman" w:hAnsi="Times New Roman" w:cs="Times New Roman"/>
        </w:rPr>
        <w:t xml:space="preserve">parādnieka pārstāvim </w:t>
      </w:r>
      <w:r w:rsidR="00097A30" w:rsidRPr="00F36B06">
        <w:rPr>
          <w:rFonts w:ascii="Times New Roman" w:hAnsi="Times New Roman" w:cs="Times New Roman"/>
        </w:rPr>
        <w:t xml:space="preserve">ir noteikti vairāki pienākumi: </w:t>
      </w:r>
      <w:r w:rsidR="00EB6D6C" w:rsidRPr="00F36B06">
        <w:rPr>
          <w:rFonts w:ascii="Times New Roman" w:hAnsi="Times New Roman" w:cs="Times New Roman"/>
        </w:rPr>
        <w:t>1) </w:t>
      </w:r>
      <w:r w:rsidR="00097A30" w:rsidRPr="00F36B06">
        <w:rPr>
          <w:rFonts w:ascii="Times New Roman" w:hAnsi="Times New Roman" w:cs="Times New Roman"/>
        </w:rPr>
        <w:t>ierasties uz visām kreditoru sapulcēm un tiesas sēdēm, uz kurām viņš uzaicināts, kā arī sniegt savā rīcībā esošās ziņas par parādnieku</w:t>
      </w:r>
      <w:r w:rsidR="00EB6D6C" w:rsidRPr="00F36B06">
        <w:rPr>
          <w:rFonts w:ascii="Times New Roman" w:hAnsi="Times New Roman" w:cs="Times New Roman"/>
        </w:rPr>
        <w:t>; 2) </w:t>
      </w:r>
      <w:r w:rsidR="00097A30" w:rsidRPr="00F36B06">
        <w:rPr>
          <w:rFonts w:ascii="Times New Roman" w:hAnsi="Times New Roman" w:cs="Times New Roman"/>
        </w:rPr>
        <w:t>ar pieņemšanas un nodošanas aktu nodo</w:t>
      </w:r>
      <w:r w:rsidR="008D0710" w:rsidRPr="00F36B06">
        <w:rPr>
          <w:rFonts w:ascii="Times New Roman" w:hAnsi="Times New Roman" w:cs="Times New Roman"/>
        </w:rPr>
        <w:t>t</w:t>
      </w:r>
      <w:r w:rsidR="00097A30" w:rsidRPr="00F36B06">
        <w:rPr>
          <w:rFonts w:ascii="Times New Roman" w:hAnsi="Times New Roman" w:cs="Times New Roman"/>
        </w:rPr>
        <w:t xml:space="preserve"> administratoram </w:t>
      </w:r>
      <w:r w:rsidR="008D0710" w:rsidRPr="00F36B06">
        <w:rPr>
          <w:rFonts w:ascii="Times New Roman" w:hAnsi="Times New Roman" w:cs="Times New Roman"/>
        </w:rPr>
        <w:t>viņa</w:t>
      </w:r>
      <w:r w:rsidR="00097A30" w:rsidRPr="00F36B06">
        <w:rPr>
          <w:rFonts w:ascii="Times New Roman" w:hAnsi="Times New Roman" w:cs="Times New Roman"/>
        </w:rPr>
        <w:t xml:space="preserve"> noteiktajā termiņā</w:t>
      </w:r>
      <w:r w:rsidR="008D0710" w:rsidRPr="00F36B06">
        <w:rPr>
          <w:rFonts w:ascii="Times New Roman" w:hAnsi="Times New Roman" w:cs="Times New Roman"/>
        </w:rPr>
        <w:t xml:space="preserve"> parādnieka mantu un dokumentus</w:t>
      </w:r>
      <w:r w:rsidR="00073A98" w:rsidRPr="00F36B06">
        <w:rPr>
          <w:rFonts w:ascii="Times New Roman" w:hAnsi="Times New Roman" w:cs="Times New Roman"/>
        </w:rPr>
        <w:t>. B</w:t>
      </w:r>
      <w:r w:rsidR="00AD3B03" w:rsidRPr="00F36B06">
        <w:rPr>
          <w:rFonts w:ascii="Times New Roman" w:hAnsi="Times New Roman" w:cs="Times New Roman"/>
        </w:rPr>
        <w:t>ūtiski a</w:t>
      </w:r>
      <w:r w:rsidR="006453DA" w:rsidRPr="00F36B06">
        <w:rPr>
          <w:rFonts w:ascii="Times New Roman" w:hAnsi="Times New Roman" w:cs="Times New Roman"/>
        </w:rPr>
        <w:t>tzīmēt, ka parādnieka</w:t>
      </w:r>
      <w:r w:rsidR="00097A30" w:rsidRPr="00F36B06">
        <w:rPr>
          <w:rFonts w:ascii="Times New Roman" w:hAnsi="Times New Roman" w:cs="Times New Roman"/>
        </w:rPr>
        <w:t xml:space="preserve"> pārstāvja pienākums ir sagatavot nododamās parādnieka mantas un dokumentu sarakst</w:t>
      </w:r>
      <w:r w:rsidR="0032005C" w:rsidRPr="00F36B06">
        <w:rPr>
          <w:rFonts w:ascii="Times New Roman" w:hAnsi="Times New Roman" w:cs="Times New Roman"/>
        </w:rPr>
        <w:t>u,</w:t>
      </w:r>
      <w:r w:rsidR="00097A30" w:rsidRPr="00F36B06">
        <w:rPr>
          <w:rFonts w:ascii="Times New Roman" w:hAnsi="Times New Roman" w:cs="Times New Roman"/>
        </w:rPr>
        <w:t xml:space="preserve"> dokumentus sakārtoj</w:t>
      </w:r>
      <w:r w:rsidR="00250984" w:rsidRPr="00F36B06">
        <w:rPr>
          <w:rFonts w:ascii="Times New Roman" w:hAnsi="Times New Roman" w:cs="Times New Roman"/>
        </w:rPr>
        <w:t xml:space="preserve">ot </w:t>
      </w:r>
      <w:r w:rsidR="00097A30" w:rsidRPr="00F36B06">
        <w:rPr>
          <w:rFonts w:ascii="Times New Roman" w:hAnsi="Times New Roman" w:cs="Times New Roman"/>
        </w:rPr>
        <w:t>atbilstoši lietvedības noteikumiem</w:t>
      </w:r>
      <w:r w:rsidR="009A2AAA" w:rsidRPr="00F36B06">
        <w:rPr>
          <w:rFonts w:ascii="Times New Roman" w:hAnsi="Times New Roman" w:cs="Times New Roman"/>
        </w:rPr>
        <w:t xml:space="preserve">; </w:t>
      </w:r>
      <w:r w:rsidR="00097A30" w:rsidRPr="00F36B06">
        <w:rPr>
          <w:rFonts w:ascii="Times New Roman" w:hAnsi="Times New Roman" w:cs="Times New Roman"/>
        </w:rPr>
        <w:t>3)</w:t>
      </w:r>
      <w:r w:rsidR="00507388" w:rsidRPr="00F36B06">
        <w:rPr>
          <w:rFonts w:ascii="Times New Roman" w:hAnsi="Times New Roman" w:cs="Times New Roman"/>
        </w:rPr>
        <w:t> </w:t>
      </w:r>
      <w:r w:rsidR="00097A30" w:rsidRPr="00F36B06">
        <w:rPr>
          <w:rFonts w:ascii="Times New Roman" w:hAnsi="Times New Roman" w:cs="Times New Roman"/>
        </w:rPr>
        <w:t>paziņot administratoram un tiesai jaunās dzīvesvietas adresi</w:t>
      </w:r>
      <w:r w:rsidR="00507388" w:rsidRPr="00F36B06">
        <w:rPr>
          <w:rFonts w:ascii="Times New Roman" w:hAnsi="Times New Roman" w:cs="Times New Roman"/>
        </w:rPr>
        <w:t>, ja tā tik mainīta maksātnespējas procesa laikā.</w:t>
      </w:r>
      <w:r w:rsidR="00FD408A" w:rsidRPr="00F36B06">
        <w:rPr>
          <w:rFonts w:ascii="Times New Roman" w:hAnsi="Times New Roman" w:cs="Times New Roman"/>
        </w:rPr>
        <w:t xml:space="preserve"> </w:t>
      </w:r>
      <w:r w:rsidR="000117E9" w:rsidRPr="00F36B06">
        <w:rPr>
          <w:rFonts w:ascii="Times New Roman" w:hAnsi="Times New Roman" w:cs="Times New Roman"/>
        </w:rPr>
        <w:t>M</w:t>
      </w:r>
      <w:r w:rsidR="00C84FD0" w:rsidRPr="00F36B06">
        <w:rPr>
          <w:rFonts w:ascii="Times New Roman" w:hAnsi="Times New Roman" w:cs="Times New Roman"/>
        </w:rPr>
        <w:t>inēto pienākumu</w:t>
      </w:r>
      <w:r w:rsidR="000117E9" w:rsidRPr="00F36B06">
        <w:rPr>
          <w:rFonts w:ascii="Times New Roman" w:hAnsi="Times New Roman" w:cs="Times New Roman"/>
        </w:rPr>
        <w:t xml:space="preserve"> neizpildes rezultātā </w:t>
      </w:r>
      <w:r w:rsidR="00F30BAB" w:rsidRPr="00F36B06">
        <w:rPr>
          <w:rFonts w:ascii="Times New Roman" w:hAnsi="Times New Roman" w:cs="Times New Roman"/>
        </w:rPr>
        <w:t xml:space="preserve">parādnieka pārstāvis </w:t>
      </w:r>
      <w:r w:rsidR="0009604B" w:rsidRPr="00F36B06">
        <w:rPr>
          <w:rFonts w:ascii="Times New Roman" w:hAnsi="Times New Roman" w:cs="Times New Roman"/>
        </w:rPr>
        <w:t>var tikt saukts pie administratīvās atbildības.</w:t>
      </w:r>
    </w:p>
    <w:p w14:paraId="2BD9006A" w14:textId="05FB5B29" w:rsidR="00660715" w:rsidRPr="00F36B06" w:rsidRDefault="00B077C2"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Par administratīvo pārkāpumu var piemērot </w:t>
      </w:r>
      <w:r w:rsidR="002071A8" w:rsidRPr="00F36B06">
        <w:rPr>
          <w:rFonts w:ascii="Times New Roman" w:hAnsi="Times New Roman" w:cs="Times New Roman"/>
        </w:rPr>
        <w:t>b</w:t>
      </w:r>
      <w:r w:rsidR="005345AB" w:rsidRPr="00F36B06">
        <w:rPr>
          <w:rFonts w:ascii="Times New Roman" w:hAnsi="Times New Roman" w:cs="Times New Roman"/>
        </w:rPr>
        <w:t>rīdinājum</w:t>
      </w:r>
      <w:r w:rsidR="00132883" w:rsidRPr="00F36B06">
        <w:rPr>
          <w:rFonts w:ascii="Times New Roman" w:hAnsi="Times New Roman" w:cs="Times New Roman"/>
        </w:rPr>
        <w:t>u</w:t>
      </w:r>
      <w:r w:rsidR="005345AB" w:rsidRPr="00F36B06">
        <w:rPr>
          <w:rFonts w:ascii="Times New Roman" w:hAnsi="Times New Roman" w:cs="Times New Roman"/>
        </w:rPr>
        <w:t xml:space="preserve"> un naudas so</w:t>
      </w:r>
      <w:r w:rsidR="002071A8" w:rsidRPr="00F36B06">
        <w:rPr>
          <w:rFonts w:ascii="Times New Roman" w:hAnsi="Times New Roman" w:cs="Times New Roman"/>
        </w:rPr>
        <w:t>du, kas</w:t>
      </w:r>
      <w:r w:rsidR="005345AB" w:rsidRPr="00F36B06">
        <w:rPr>
          <w:rFonts w:ascii="Times New Roman" w:hAnsi="Times New Roman" w:cs="Times New Roman"/>
        </w:rPr>
        <w:t xml:space="preserve"> ir pamatsodi,</w:t>
      </w:r>
      <w:r w:rsidR="00311566" w:rsidRPr="00F36B06">
        <w:rPr>
          <w:rFonts w:ascii="Times New Roman" w:hAnsi="Times New Roman" w:cs="Times New Roman"/>
        </w:rPr>
        <w:t xml:space="preserve"> kā arī</w:t>
      </w:r>
      <w:r w:rsidR="005345AB" w:rsidRPr="00F36B06">
        <w:rPr>
          <w:rFonts w:ascii="Times New Roman" w:hAnsi="Times New Roman" w:cs="Times New Roman"/>
        </w:rPr>
        <w:t xml:space="preserve"> tiesību atņemšan</w:t>
      </w:r>
      <w:r w:rsidR="00311566" w:rsidRPr="00F36B06">
        <w:rPr>
          <w:rFonts w:ascii="Times New Roman" w:hAnsi="Times New Roman" w:cs="Times New Roman"/>
        </w:rPr>
        <w:t>u</w:t>
      </w:r>
      <w:r w:rsidR="005345AB" w:rsidRPr="00F36B06">
        <w:rPr>
          <w:rFonts w:ascii="Times New Roman" w:hAnsi="Times New Roman" w:cs="Times New Roman"/>
        </w:rPr>
        <w:t xml:space="preserve"> </w:t>
      </w:r>
      <w:r w:rsidR="00311566" w:rsidRPr="00F36B06">
        <w:rPr>
          <w:rFonts w:ascii="Times New Roman" w:hAnsi="Times New Roman" w:cs="Times New Roman"/>
        </w:rPr>
        <w:t>vai</w:t>
      </w:r>
      <w:r w:rsidR="005345AB" w:rsidRPr="00F36B06">
        <w:rPr>
          <w:rFonts w:ascii="Times New Roman" w:hAnsi="Times New Roman" w:cs="Times New Roman"/>
        </w:rPr>
        <w:t xml:space="preserve"> tiesību izmantošanas aizliegum</w:t>
      </w:r>
      <w:r w:rsidR="00B24719" w:rsidRPr="00F36B06">
        <w:rPr>
          <w:rFonts w:ascii="Times New Roman" w:hAnsi="Times New Roman" w:cs="Times New Roman"/>
        </w:rPr>
        <w:t xml:space="preserve">u, kas ir </w:t>
      </w:r>
      <w:r w:rsidR="005345AB" w:rsidRPr="00F36B06">
        <w:rPr>
          <w:rFonts w:ascii="Times New Roman" w:hAnsi="Times New Roman" w:cs="Times New Roman"/>
        </w:rPr>
        <w:t>papildsodi.</w:t>
      </w:r>
      <w:r w:rsidR="00B24719" w:rsidRPr="00F36B06">
        <w:rPr>
          <w:rStyle w:val="FootnoteReference"/>
          <w:rFonts w:ascii="Times New Roman" w:hAnsi="Times New Roman" w:cs="Times New Roman"/>
        </w:rPr>
        <w:footnoteReference w:id="46"/>
      </w:r>
      <w:r w:rsidR="00A34F04" w:rsidRPr="00F36B06">
        <w:rPr>
          <w:rFonts w:ascii="Times New Roman" w:hAnsi="Times New Roman" w:cs="Times New Roman"/>
        </w:rPr>
        <w:t xml:space="preserve"> </w:t>
      </w:r>
      <w:r w:rsidR="00745377" w:rsidRPr="00F36B06">
        <w:rPr>
          <w:rFonts w:ascii="Times New Roman" w:hAnsi="Times New Roman" w:cs="Times New Roman"/>
        </w:rPr>
        <w:t xml:space="preserve">Maksātnespējas </w:t>
      </w:r>
      <w:r w:rsidR="003C4591" w:rsidRPr="00F36B06">
        <w:rPr>
          <w:rFonts w:ascii="Times New Roman" w:hAnsi="Times New Roman" w:cs="Times New Roman"/>
        </w:rPr>
        <w:t xml:space="preserve">likuma 179. pantā noteikts, ka </w:t>
      </w:r>
      <w:r w:rsidR="00CF7D24" w:rsidRPr="00F36B06">
        <w:rPr>
          <w:rFonts w:ascii="Times New Roman" w:hAnsi="Times New Roman" w:cs="Times New Roman"/>
        </w:rPr>
        <w:t>par maksātnespējas procesa noteikumu pārkāpšanu, tostarp</w:t>
      </w:r>
      <w:r w:rsidR="004812F8" w:rsidRPr="00F36B06">
        <w:rPr>
          <w:rFonts w:ascii="Times New Roman" w:hAnsi="Times New Roman" w:cs="Times New Roman"/>
        </w:rPr>
        <w:t xml:space="preserve"> gadījumā, ja parādnieka pā</w:t>
      </w:r>
      <w:r w:rsidR="005A495C" w:rsidRPr="00F36B06">
        <w:rPr>
          <w:rFonts w:ascii="Times New Roman" w:hAnsi="Times New Roman" w:cs="Times New Roman"/>
        </w:rPr>
        <w:t xml:space="preserve">rstāvis nav nodevis </w:t>
      </w:r>
      <w:r w:rsidR="00C25069" w:rsidRPr="00F36B06">
        <w:rPr>
          <w:rFonts w:ascii="Times New Roman" w:hAnsi="Times New Roman" w:cs="Times New Roman"/>
        </w:rPr>
        <w:t xml:space="preserve">administratoram </w:t>
      </w:r>
      <w:r w:rsidR="00C67FE4" w:rsidRPr="00F36B06">
        <w:rPr>
          <w:rFonts w:ascii="Times New Roman" w:hAnsi="Times New Roman" w:cs="Times New Roman"/>
        </w:rPr>
        <w:t xml:space="preserve">parādnieka </w:t>
      </w:r>
      <w:r w:rsidR="00100EFB" w:rsidRPr="00F36B06">
        <w:rPr>
          <w:rFonts w:ascii="Times New Roman" w:hAnsi="Times New Roman" w:cs="Times New Roman"/>
        </w:rPr>
        <w:t>dokument</w:t>
      </w:r>
      <w:r w:rsidR="005047D7" w:rsidRPr="00F36B06">
        <w:rPr>
          <w:rFonts w:ascii="Times New Roman" w:hAnsi="Times New Roman" w:cs="Times New Roman"/>
        </w:rPr>
        <w:t>us</w:t>
      </w:r>
      <w:r w:rsidR="00132883" w:rsidRPr="00F36B06">
        <w:rPr>
          <w:rFonts w:ascii="Times New Roman" w:hAnsi="Times New Roman" w:cs="Times New Roman"/>
        </w:rPr>
        <w:t>,</w:t>
      </w:r>
      <w:r w:rsidR="00D47DCB" w:rsidRPr="00F36B06">
        <w:rPr>
          <w:rFonts w:ascii="Times New Roman" w:hAnsi="Times New Roman" w:cs="Times New Roman"/>
        </w:rPr>
        <w:t xml:space="preserve"> </w:t>
      </w:r>
      <w:r w:rsidR="00926042" w:rsidRPr="00F36B06">
        <w:rPr>
          <w:rFonts w:ascii="Times New Roman" w:hAnsi="Times New Roman" w:cs="Times New Roman"/>
        </w:rPr>
        <w:t>piemēro naudas sodu no divdesmit līdz trīssimt naudas soda vienībām, atņemot tiesības ieņemt noteiktus amatus komercsabiedrībās uz laiku no viena mēneša līdz pieciem gadiem vai bez tā</w:t>
      </w:r>
      <w:r w:rsidR="00026ADB" w:rsidRPr="00F36B06">
        <w:rPr>
          <w:rFonts w:ascii="Times New Roman" w:hAnsi="Times New Roman" w:cs="Times New Roman"/>
        </w:rPr>
        <w:t xml:space="preserve">. </w:t>
      </w:r>
      <w:r w:rsidR="003943D4" w:rsidRPr="00F36B06">
        <w:rPr>
          <w:rFonts w:ascii="Times New Roman" w:hAnsi="Times New Roman" w:cs="Times New Roman"/>
        </w:rPr>
        <w:t>K</w:t>
      </w:r>
      <w:r w:rsidR="00CF2C76" w:rsidRPr="00F36B06">
        <w:rPr>
          <w:rFonts w:ascii="Times New Roman" w:hAnsi="Times New Roman" w:cs="Times New Roman"/>
        </w:rPr>
        <w:t xml:space="preserve">opā </w:t>
      </w:r>
      <w:r w:rsidR="00F70DBC" w:rsidRPr="00F36B06">
        <w:rPr>
          <w:rFonts w:ascii="Times New Roman" w:hAnsi="Times New Roman" w:cs="Times New Roman"/>
        </w:rPr>
        <w:t>17</w:t>
      </w:r>
      <w:r w:rsidR="00132883" w:rsidRPr="00F36B06">
        <w:rPr>
          <w:rFonts w:ascii="Times New Roman" w:hAnsi="Times New Roman" w:cs="Times New Roman"/>
        </w:rPr>
        <w:t> </w:t>
      </w:r>
      <w:r w:rsidR="00F70DBC" w:rsidRPr="00F36B06">
        <w:rPr>
          <w:rFonts w:ascii="Times New Roman" w:hAnsi="Times New Roman" w:cs="Times New Roman"/>
        </w:rPr>
        <w:t xml:space="preserve">maksātnespējas procesos, kuros personas tika sauktas </w:t>
      </w:r>
      <w:r w:rsidR="00FE5BFF" w:rsidRPr="00F36B06">
        <w:rPr>
          <w:rFonts w:ascii="Times New Roman" w:hAnsi="Times New Roman" w:cs="Times New Roman"/>
        </w:rPr>
        <w:t>pie administratīvās atbildības</w:t>
      </w:r>
      <w:r w:rsidR="00B4320E" w:rsidRPr="00F36B06">
        <w:rPr>
          <w:rFonts w:ascii="Times New Roman" w:hAnsi="Times New Roman" w:cs="Times New Roman"/>
        </w:rPr>
        <w:t>,</w:t>
      </w:r>
      <w:r w:rsidR="00FE5BFF" w:rsidRPr="00F36B06">
        <w:rPr>
          <w:rFonts w:ascii="Times New Roman" w:hAnsi="Times New Roman" w:cs="Times New Roman"/>
        </w:rPr>
        <w:t xml:space="preserve"> ir uzlikts naudas sods </w:t>
      </w:r>
      <w:r w:rsidR="00CF2C76" w:rsidRPr="00F36B06">
        <w:rPr>
          <w:rFonts w:ascii="Times New Roman" w:hAnsi="Times New Roman" w:cs="Times New Roman"/>
        </w:rPr>
        <w:t>8</w:t>
      </w:r>
      <w:r w:rsidR="00E01BB1" w:rsidRPr="00F36B06">
        <w:rPr>
          <w:rFonts w:ascii="Times New Roman" w:hAnsi="Times New Roman" w:cs="Times New Roman"/>
        </w:rPr>
        <w:t> </w:t>
      </w:r>
      <w:r w:rsidR="00CF2C76" w:rsidRPr="00F36B06">
        <w:rPr>
          <w:rFonts w:ascii="Times New Roman" w:hAnsi="Times New Roman" w:cs="Times New Roman"/>
        </w:rPr>
        <w:t>877</w:t>
      </w:r>
      <w:r w:rsidR="00A85E94" w:rsidRPr="00F36B06">
        <w:rPr>
          <w:rFonts w:ascii="Times New Roman" w:hAnsi="Times New Roman" w:cs="Times New Roman"/>
        </w:rPr>
        <w:t> </w:t>
      </w:r>
      <w:proofErr w:type="spellStart"/>
      <w:r w:rsidR="00CF2C76" w:rsidRPr="00F36B06">
        <w:rPr>
          <w:rFonts w:ascii="Times New Roman" w:hAnsi="Times New Roman" w:cs="Times New Roman"/>
          <w:i/>
          <w:iCs/>
        </w:rPr>
        <w:t>euro</w:t>
      </w:r>
      <w:proofErr w:type="spellEnd"/>
      <w:r w:rsidR="00CF2C76" w:rsidRPr="00F36B06">
        <w:rPr>
          <w:rFonts w:ascii="Times New Roman" w:hAnsi="Times New Roman" w:cs="Times New Roman"/>
        </w:rPr>
        <w:t xml:space="preserve">, </w:t>
      </w:r>
      <w:r w:rsidR="00FE5BFF" w:rsidRPr="00F36B06">
        <w:rPr>
          <w:rFonts w:ascii="Times New Roman" w:hAnsi="Times New Roman" w:cs="Times New Roman"/>
        </w:rPr>
        <w:t>savukārt piedzīti</w:t>
      </w:r>
      <w:r w:rsidR="00CF2C76" w:rsidRPr="00F36B06">
        <w:rPr>
          <w:rFonts w:ascii="Times New Roman" w:hAnsi="Times New Roman" w:cs="Times New Roman"/>
        </w:rPr>
        <w:t xml:space="preserve"> </w:t>
      </w:r>
      <w:r w:rsidR="0020535C" w:rsidRPr="00F36B06">
        <w:rPr>
          <w:rFonts w:ascii="Times New Roman" w:hAnsi="Times New Roman" w:cs="Times New Roman"/>
        </w:rPr>
        <w:t>6</w:t>
      </w:r>
      <w:r w:rsidR="00E01BB1" w:rsidRPr="00F36B06">
        <w:rPr>
          <w:rFonts w:ascii="Times New Roman" w:hAnsi="Times New Roman" w:cs="Times New Roman"/>
        </w:rPr>
        <w:t> </w:t>
      </w:r>
      <w:r w:rsidR="0020535C" w:rsidRPr="00F36B06">
        <w:rPr>
          <w:rFonts w:ascii="Times New Roman" w:hAnsi="Times New Roman" w:cs="Times New Roman"/>
        </w:rPr>
        <w:t>512</w:t>
      </w:r>
      <w:r w:rsidR="00A85E94" w:rsidRPr="00F36B06">
        <w:rPr>
          <w:rFonts w:ascii="Times New Roman" w:hAnsi="Times New Roman" w:cs="Times New Roman"/>
        </w:rPr>
        <w:t> </w:t>
      </w:r>
      <w:proofErr w:type="spellStart"/>
      <w:r w:rsidR="0020535C" w:rsidRPr="00F36B06">
        <w:rPr>
          <w:rFonts w:ascii="Times New Roman" w:hAnsi="Times New Roman" w:cs="Times New Roman"/>
          <w:i/>
          <w:iCs/>
        </w:rPr>
        <w:t>euro</w:t>
      </w:r>
      <w:proofErr w:type="spellEnd"/>
      <w:r w:rsidR="00287F45" w:rsidRPr="00F36B06">
        <w:rPr>
          <w:rFonts w:ascii="Times New Roman" w:hAnsi="Times New Roman" w:cs="Times New Roman"/>
        </w:rPr>
        <w:t xml:space="preserve">, papildsods piemērots </w:t>
      </w:r>
      <w:r w:rsidR="00101CC9" w:rsidRPr="00F36B06">
        <w:rPr>
          <w:rFonts w:ascii="Times New Roman" w:hAnsi="Times New Roman" w:cs="Times New Roman"/>
        </w:rPr>
        <w:t>sešos</w:t>
      </w:r>
      <w:r w:rsidR="00A85E94" w:rsidRPr="00F36B06">
        <w:rPr>
          <w:rFonts w:ascii="Times New Roman" w:hAnsi="Times New Roman" w:cs="Times New Roman"/>
        </w:rPr>
        <w:t> </w:t>
      </w:r>
      <w:r w:rsidR="00287F45" w:rsidRPr="00F36B06">
        <w:rPr>
          <w:rFonts w:ascii="Times New Roman" w:hAnsi="Times New Roman" w:cs="Times New Roman"/>
        </w:rPr>
        <w:t>gadījumos.</w:t>
      </w:r>
    </w:p>
    <w:p w14:paraId="6F56A562" w14:textId="77777777" w:rsidR="00EC2BB9" w:rsidRPr="00F36B06" w:rsidRDefault="005A3A3A"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P</w:t>
      </w:r>
      <w:r w:rsidR="00E167AA" w:rsidRPr="00F36B06">
        <w:rPr>
          <w:rFonts w:ascii="Times New Roman" w:hAnsi="Times New Roman" w:cs="Times New Roman"/>
        </w:rPr>
        <w:t>apildsod</w:t>
      </w:r>
      <w:r w:rsidRPr="00F36B06">
        <w:rPr>
          <w:rFonts w:ascii="Times New Roman" w:hAnsi="Times New Roman" w:cs="Times New Roman"/>
        </w:rPr>
        <w:t xml:space="preserve">s </w:t>
      </w:r>
      <w:r w:rsidR="008A6A82" w:rsidRPr="00F36B06">
        <w:rPr>
          <w:rFonts w:ascii="Times New Roman" w:hAnsi="Times New Roman" w:cs="Times New Roman"/>
        </w:rPr>
        <w:t xml:space="preserve">pamatoti tiek uzskatīts </w:t>
      </w:r>
      <w:r w:rsidR="0040102C" w:rsidRPr="00F36B06">
        <w:rPr>
          <w:rFonts w:ascii="Times New Roman" w:hAnsi="Times New Roman" w:cs="Times New Roman"/>
        </w:rPr>
        <w:t xml:space="preserve">par </w:t>
      </w:r>
      <w:r w:rsidR="00E167AA" w:rsidRPr="00F36B06">
        <w:rPr>
          <w:rFonts w:ascii="Times New Roman" w:hAnsi="Times New Roman" w:cs="Times New Roman"/>
        </w:rPr>
        <w:t>efektīv</w:t>
      </w:r>
      <w:r w:rsidR="00E554E8" w:rsidRPr="00F36B06">
        <w:rPr>
          <w:rFonts w:ascii="Times New Roman" w:hAnsi="Times New Roman" w:cs="Times New Roman"/>
        </w:rPr>
        <w:t>u</w:t>
      </w:r>
      <w:r w:rsidR="00E167AA" w:rsidRPr="00F36B06">
        <w:rPr>
          <w:rFonts w:ascii="Times New Roman" w:hAnsi="Times New Roman" w:cs="Times New Roman"/>
        </w:rPr>
        <w:t xml:space="preserve"> līdzekli negodprātīgu personu izslēgšanai no </w:t>
      </w:r>
      <w:proofErr w:type="spellStart"/>
      <w:r w:rsidR="00E167AA" w:rsidRPr="00F36B06">
        <w:rPr>
          <w:rFonts w:ascii="Times New Roman" w:hAnsi="Times New Roman" w:cs="Times New Roman"/>
        </w:rPr>
        <w:t>komerctiesiskās</w:t>
      </w:r>
      <w:proofErr w:type="spellEnd"/>
      <w:r w:rsidR="00E167AA" w:rsidRPr="00F36B06">
        <w:rPr>
          <w:rFonts w:ascii="Times New Roman" w:hAnsi="Times New Roman" w:cs="Times New Roman"/>
        </w:rPr>
        <w:t xml:space="preserve"> aprites uz noteiktu laiku. Izskatītajās lietās vērojama tendence komercsabiedrību valdes locekļiem apzināti izvairīties no atbildības par dokumentu nenodošanu un secīgi komersantam nodarītajiem zaudējumiem (gan administratīvi tiesiskās, gan civiltiesiskās) ar dažādiem juridiskiem risinājumiem. </w:t>
      </w:r>
      <w:r w:rsidR="005F66DB" w:rsidRPr="00F36B06">
        <w:rPr>
          <w:rFonts w:ascii="Times New Roman" w:hAnsi="Times New Roman" w:cs="Times New Roman"/>
        </w:rPr>
        <w:t>Visos gadījumos, kuros tika piemērots papildsods, valdes locek</w:t>
      </w:r>
      <w:r w:rsidR="00EF3A32" w:rsidRPr="00F36B06">
        <w:rPr>
          <w:rFonts w:ascii="Times New Roman" w:hAnsi="Times New Roman" w:cs="Times New Roman"/>
        </w:rPr>
        <w:t>ļ</w:t>
      </w:r>
      <w:r w:rsidR="005F66DB" w:rsidRPr="00F36B06">
        <w:rPr>
          <w:rFonts w:ascii="Times New Roman" w:hAnsi="Times New Roman" w:cs="Times New Roman"/>
        </w:rPr>
        <w:t xml:space="preserve">i ilgstoši nebija </w:t>
      </w:r>
      <w:r w:rsidR="00357C84" w:rsidRPr="00F36B06">
        <w:rPr>
          <w:rFonts w:ascii="Times New Roman" w:hAnsi="Times New Roman" w:cs="Times New Roman"/>
        </w:rPr>
        <w:t>iz</w:t>
      </w:r>
      <w:r w:rsidR="00687B32" w:rsidRPr="00F36B06">
        <w:rPr>
          <w:rFonts w:ascii="Times New Roman" w:hAnsi="Times New Roman" w:cs="Times New Roman"/>
        </w:rPr>
        <w:t>pildījuši parādnieka pārstāvja pienākumus, nesniedz</w:t>
      </w:r>
      <w:r w:rsidR="00357C84" w:rsidRPr="00F36B06">
        <w:rPr>
          <w:rFonts w:ascii="Times New Roman" w:hAnsi="Times New Roman" w:cs="Times New Roman"/>
        </w:rPr>
        <w:t xml:space="preserve">a </w:t>
      </w:r>
      <w:r w:rsidR="00592E75" w:rsidRPr="00F36B06">
        <w:rPr>
          <w:rFonts w:ascii="Times New Roman" w:hAnsi="Times New Roman" w:cs="Times New Roman"/>
        </w:rPr>
        <w:t xml:space="preserve">atbildes uz </w:t>
      </w:r>
      <w:r w:rsidR="00357C84" w:rsidRPr="00F36B06">
        <w:rPr>
          <w:rFonts w:ascii="Times New Roman" w:hAnsi="Times New Roman" w:cs="Times New Roman"/>
        </w:rPr>
        <w:t>ad</w:t>
      </w:r>
      <w:r w:rsidR="00932D03" w:rsidRPr="00F36B06">
        <w:rPr>
          <w:rFonts w:ascii="Times New Roman" w:hAnsi="Times New Roman" w:cs="Times New Roman"/>
        </w:rPr>
        <w:t>ministratora</w:t>
      </w:r>
      <w:r w:rsidR="00592E75" w:rsidRPr="00F36B06">
        <w:rPr>
          <w:rFonts w:ascii="Times New Roman" w:hAnsi="Times New Roman" w:cs="Times New Roman"/>
        </w:rPr>
        <w:t xml:space="preserve"> pieprasījumiem</w:t>
      </w:r>
      <w:r w:rsidR="009949CD" w:rsidRPr="00F36B06">
        <w:rPr>
          <w:rFonts w:ascii="Times New Roman" w:hAnsi="Times New Roman" w:cs="Times New Roman"/>
        </w:rPr>
        <w:t>, kā arī maksātnespējas procesa virzībai nepieciešamo</w:t>
      </w:r>
      <w:r w:rsidR="00932D03" w:rsidRPr="00F36B06">
        <w:rPr>
          <w:rFonts w:ascii="Times New Roman" w:hAnsi="Times New Roman" w:cs="Times New Roman"/>
        </w:rPr>
        <w:t xml:space="preserve"> informāciju un dokumentus. </w:t>
      </w:r>
    </w:p>
    <w:p w14:paraId="5755803A" w14:textId="0087A878" w:rsidR="00657D16" w:rsidRPr="00F36B06" w:rsidRDefault="00262AEB"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Vidēj</w:t>
      </w:r>
      <w:r w:rsidR="00F92D7F" w:rsidRPr="00F36B06">
        <w:rPr>
          <w:rFonts w:ascii="Times New Roman" w:hAnsi="Times New Roman" w:cs="Times New Roman"/>
        </w:rPr>
        <w:t>a</w:t>
      </w:r>
      <w:r w:rsidRPr="00F36B06">
        <w:rPr>
          <w:rFonts w:ascii="Times New Roman" w:hAnsi="Times New Roman" w:cs="Times New Roman"/>
        </w:rPr>
        <w:t>i</w:t>
      </w:r>
      <w:r w:rsidR="00F92D7F" w:rsidRPr="00F36B06">
        <w:rPr>
          <w:rFonts w:ascii="Times New Roman" w:hAnsi="Times New Roman" w:cs="Times New Roman"/>
        </w:rPr>
        <w:t>s</w:t>
      </w:r>
      <w:r w:rsidRPr="00F36B06">
        <w:rPr>
          <w:rFonts w:ascii="Times New Roman" w:hAnsi="Times New Roman" w:cs="Times New Roman"/>
        </w:rPr>
        <w:t xml:space="preserve"> </w:t>
      </w:r>
      <w:r w:rsidR="00F92D7F" w:rsidRPr="00F36B06">
        <w:rPr>
          <w:rFonts w:ascii="Times New Roman" w:hAnsi="Times New Roman" w:cs="Times New Roman"/>
        </w:rPr>
        <w:t xml:space="preserve">piemērotā </w:t>
      </w:r>
      <w:r w:rsidRPr="00F36B06">
        <w:rPr>
          <w:rFonts w:ascii="Times New Roman" w:hAnsi="Times New Roman" w:cs="Times New Roman"/>
        </w:rPr>
        <w:t>papildsod</w:t>
      </w:r>
      <w:r w:rsidR="00F92D7F" w:rsidRPr="00F36B06">
        <w:rPr>
          <w:rFonts w:ascii="Times New Roman" w:hAnsi="Times New Roman" w:cs="Times New Roman"/>
        </w:rPr>
        <w:t xml:space="preserve">a ilgums ir </w:t>
      </w:r>
      <w:r w:rsidR="00EB3930" w:rsidRPr="00F36B06">
        <w:rPr>
          <w:rFonts w:ascii="Times New Roman" w:hAnsi="Times New Roman" w:cs="Times New Roman"/>
        </w:rPr>
        <w:t>33 mēneši (2,75 gadi).</w:t>
      </w:r>
      <w:r w:rsidR="000A1755" w:rsidRPr="00F36B06">
        <w:rPr>
          <w:rFonts w:ascii="Times New Roman" w:hAnsi="Times New Roman" w:cs="Times New Roman"/>
        </w:rPr>
        <w:t xml:space="preserve"> </w:t>
      </w:r>
      <w:r w:rsidR="001559DD" w:rsidRPr="00F36B06">
        <w:rPr>
          <w:rFonts w:ascii="Times New Roman" w:hAnsi="Times New Roman" w:cs="Times New Roman"/>
        </w:rPr>
        <w:t xml:space="preserve">Jāvērš </w:t>
      </w:r>
      <w:r w:rsidR="00F82681" w:rsidRPr="00F36B06">
        <w:rPr>
          <w:rFonts w:ascii="Times New Roman" w:hAnsi="Times New Roman" w:cs="Times New Roman"/>
        </w:rPr>
        <w:t>uzmanība, ka a</w:t>
      </w:r>
      <w:r w:rsidR="000A1755" w:rsidRPr="00F36B06">
        <w:rPr>
          <w:rFonts w:ascii="Times New Roman" w:hAnsi="Times New Roman" w:cs="Times New Roman"/>
        </w:rPr>
        <w:t xml:space="preserve">tbilstoši faktiskajai situācijai </w:t>
      </w:r>
      <w:r w:rsidR="001559DD" w:rsidRPr="00F36B06">
        <w:rPr>
          <w:rFonts w:ascii="Times New Roman" w:hAnsi="Times New Roman" w:cs="Times New Roman"/>
        </w:rPr>
        <w:t>pie administratīvās atbildības vien</w:t>
      </w:r>
      <w:r w:rsidR="00F82681" w:rsidRPr="00F36B06">
        <w:rPr>
          <w:rFonts w:ascii="Times New Roman" w:hAnsi="Times New Roman" w:cs="Times New Roman"/>
        </w:rPr>
        <w:t xml:space="preserve">laikus var tikt saukti gan </w:t>
      </w:r>
      <w:r w:rsidR="00FD5027" w:rsidRPr="00F36B06">
        <w:rPr>
          <w:rFonts w:ascii="Times New Roman" w:hAnsi="Times New Roman" w:cs="Times New Roman"/>
        </w:rPr>
        <w:t>īstie</w:t>
      </w:r>
      <w:r w:rsidR="001A3122" w:rsidRPr="00F36B06">
        <w:rPr>
          <w:rFonts w:ascii="Times New Roman" w:hAnsi="Times New Roman" w:cs="Times New Roman"/>
        </w:rPr>
        <w:t>, gan "formālie" valdes locekļi</w:t>
      </w:r>
      <w:r w:rsidR="00EC506F" w:rsidRPr="00F36B06">
        <w:rPr>
          <w:rFonts w:ascii="Times New Roman" w:hAnsi="Times New Roman" w:cs="Times New Roman"/>
        </w:rPr>
        <w:t xml:space="preserve"> (personas, kuras parasti tiek ieceltas īsi pirms maksātnespējas procesa pasludināšanas un kuru rīcībā </w:t>
      </w:r>
      <w:r w:rsidR="00726C53" w:rsidRPr="00F36B06">
        <w:rPr>
          <w:rFonts w:ascii="Times New Roman" w:hAnsi="Times New Roman" w:cs="Times New Roman"/>
        </w:rPr>
        <w:t>nav informācijas par parādnieka iepriekšējo darbību)</w:t>
      </w:r>
      <w:r w:rsidR="001A3122" w:rsidRPr="00F36B06">
        <w:rPr>
          <w:rFonts w:ascii="Times New Roman" w:hAnsi="Times New Roman" w:cs="Times New Roman"/>
        </w:rPr>
        <w:t xml:space="preserve">, tādējādi </w:t>
      </w:r>
      <w:r w:rsidR="001A3122" w:rsidRPr="00F36B06">
        <w:rPr>
          <w:rFonts w:ascii="Times New Roman" w:hAnsi="Times New Roman" w:cs="Times New Roman"/>
        </w:rPr>
        <w:lastRenderedPageBreak/>
        <w:t xml:space="preserve">izslēdzot no </w:t>
      </w:r>
      <w:r w:rsidR="007651FF" w:rsidRPr="00F36B06">
        <w:rPr>
          <w:rFonts w:ascii="Times New Roman" w:hAnsi="Times New Roman" w:cs="Times New Roman"/>
        </w:rPr>
        <w:t xml:space="preserve">dalības </w:t>
      </w:r>
      <w:proofErr w:type="spellStart"/>
      <w:r w:rsidR="001A3122" w:rsidRPr="00F36B06">
        <w:rPr>
          <w:rFonts w:ascii="Times New Roman" w:hAnsi="Times New Roman" w:cs="Times New Roman"/>
        </w:rPr>
        <w:t>komercti</w:t>
      </w:r>
      <w:r w:rsidR="00CC120E" w:rsidRPr="00F36B06">
        <w:rPr>
          <w:rFonts w:ascii="Times New Roman" w:hAnsi="Times New Roman" w:cs="Times New Roman"/>
        </w:rPr>
        <w:t>e</w:t>
      </w:r>
      <w:r w:rsidR="001A3122" w:rsidRPr="00F36B06">
        <w:rPr>
          <w:rFonts w:ascii="Times New Roman" w:hAnsi="Times New Roman" w:cs="Times New Roman"/>
        </w:rPr>
        <w:t>sisk</w:t>
      </w:r>
      <w:r w:rsidR="007651FF" w:rsidRPr="00F36B06">
        <w:rPr>
          <w:rFonts w:ascii="Times New Roman" w:hAnsi="Times New Roman" w:cs="Times New Roman"/>
        </w:rPr>
        <w:t>ajā</w:t>
      </w:r>
      <w:proofErr w:type="spellEnd"/>
      <w:r w:rsidR="007651FF" w:rsidRPr="00F36B06">
        <w:rPr>
          <w:rFonts w:ascii="Times New Roman" w:hAnsi="Times New Roman" w:cs="Times New Roman"/>
        </w:rPr>
        <w:t xml:space="preserve"> apgrozībā</w:t>
      </w:r>
      <w:r w:rsidR="00E122B8" w:rsidRPr="00F36B06">
        <w:rPr>
          <w:rFonts w:ascii="Times New Roman" w:hAnsi="Times New Roman" w:cs="Times New Roman"/>
        </w:rPr>
        <w:t xml:space="preserve"> </w:t>
      </w:r>
      <w:r w:rsidR="00D60EAB" w:rsidRPr="00F36B06">
        <w:rPr>
          <w:rFonts w:ascii="Times New Roman" w:hAnsi="Times New Roman" w:cs="Times New Roman"/>
        </w:rPr>
        <w:t>personas, kuras veikušas saskaņotas darbības ar mērķi izvairīties no atbildības.</w:t>
      </w:r>
    </w:p>
    <w:p w14:paraId="61EE6885" w14:textId="2383C3AA" w:rsidR="00E21CF0" w:rsidRPr="00F36B06" w:rsidRDefault="00E21CF0" w:rsidP="00E56AE9">
      <w:pPr>
        <w:spacing w:after="0" w:line="240" w:lineRule="auto"/>
        <w:ind w:firstLine="720"/>
        <w:jc w:val="both"/>
        <w:rPr>
          <w:rFonts w:ascii="Times New Roman" w:hAnsi="Times New Roman" w:cs="Times New Roman"/>
        </w:rPr>
      </w:pPr>
      <w:r w:rsidRPr="00F36B06">
        <w:rPr>
          <w:rFonts w:ascii="Times New Roman" w:hAnsi="Times New Roman" w:cs="Times New Roman"/>
        </w:rPr>
        <w:t>Būtiski, ka daļ</w:t>
      </w:r>
      <w:r w:rsidR="0058707F" w:rsidRPr="00F36B06">
        <w:rPr>
          <w:rFonts w:ascii="Times New Roman" w:hAnsi="Times New Roman" w:cs="Times New Roman"/>
        </w:rPr>
        <w:t>ā</w:t>
      </w:r>
      <w:r w:rsidR="00805850" w:rsidRPr="00F36B06">
        <w:rPr>
          <w:rFonts w:ascii="Times New Roman" w:hAnsi="Times New Roman" w:cs="Times New Roman"/>
        </w:rPr>
        <w:t xml:space="preserve"> no 35 prasībām</w:t>
      </w:r>
      <w:r w:rsidR="008A4FB9" w:rsidRPr="00F36B06">
        <w:rPr>
          <w:rFonts w:ascii="Times New Roman" w:hAnsi="Times New Roman" w:cs="Times New Roman"/>
        </w:rPr>
        <w:t>, kas celtas, pamatojoties uz Maksātnespējas likuma 72.</w:t>
      </w:r>
      <w:r w:rsidR="008A4FB9" w:rsidRPr="00F36B06">
        <w:rPr>
          <w:rFonts w:ascii="Times New Roman" w:hAnsi="Times New Roman" w:cs="Times New Roman"/>
          <w:vertAlign w:val="superscript"/>
        </w:rPr>
        <w:t>1</w:t>
      </w:r>
      <w:r w:rsidR="008A4FB9" w:rsidRPr="00F36B06">
        <w:rPr>
          <w:rFonts w:ascii="Times New Roman" w:hAnsi="Times New Roman" w:cs="Times New Roman"/>
        </w:rPr>
        <w:t> pantu</w:t>
      </w:r>
      <w:r w:rsidR="008C4671" w:rsidRPr="00F36B06">
        <w:rPr>
          <w:rFonts w:ascii="Times New Roman" w:hAnsi="Times New Roman" w:cs="Times New Roman"/>
        </w:rPr>
        <w:t xml:space="preserve">, ir taisīts </w:t>
      </w:r>
      <w:bookmarkStart w:id="13" w:name="_Hlk197464777"/>
      <w:r w:rsidR="008C4671" w:rsidRPr="00F36B06">
        <w:rPr>
          <w:rFonts w:ascii="Times New Roman" w:hAnsi="Times New Roman" w:cs="Times New Roman"/>
        </w:rPr>
        <w:t xml:space="preserve">aizmugurisks </w:t>
      </w:r>
      <w:bookmarkEnd w:id="13"/>
      <w:r w:rsidR="008C4671" w:rsidRPr="00F36B06">
        <w:rPr>
          <w:rFonts w:ascii="Times New Roman" w:hAnsi="Times New Roman" w:cs="Times New Roman"/>
        </w:rPr>
        <w:t>spriedums</w:t>
      </w:r>
      <w:r w:rsidR="00601A1B" w:rsidRPr="00F36B06">
        <w:rPr>
          <w:rFonts w:ascii="Times New Roman" w:hAnsi="Times New Roman" w:cs="Times New Roman"/>
        </w:rPr>
        <w:t>.</w:t>
      </w:r>
      <w:r w:rsidR="00C154EB" w:rsidRPr="00F36B06">
        <w:rPr>
          <w:rFonts w:ascii="Times New Roman" w:hAnsi="Times New Roman" w:cs="Times New Roman"/>
        </w:rPr>
        <w:t> </w:t>
      </w:r>
      <w:r w:rsidR="00601A1B" w:rsidRPr="00F36B06">
        <w:rPr>
          <w:rFonts w:ascii="Times New Roman" w:hAnsi="Times New Roman" w:cs="Times New Roman"/>
        </w:rPr>
        <w:t xml:space="preserve">Aizmugurisku </w:t>
      </w:r>
      <w:r w:rsidR="00C154EB" w:rsidRPr="00F36B06">
        <w:rPr>
          <w:rFonts w:ascii="Times New Roman" w:hAnsi="Times New Roman" w:cs="Times New Roman"/>
        </w:rPr>
        <w:t>spriedum</w:t>
      </w:r>
      <w:r w:rsidR="00601A1B" w:rsidRPr="00F36B06">
        <w:rPr>
          <w:rFonts w:ascii="Times New Roman" w:hAnsi="Times New Roman" w:cs="Times New Roman"/>
        </w:rPr>
        <w:t>u</w:t>
      </w:r>
      <w:r w:rsidR="00C154EB" w:rsidRPr="00F36B06">
        <w:rPr>
          <w:rFonts w:ascii="Times New Roman" w:hAnsi="Times New Roman" w:cs="Times New Roman"/>
        </w:rPr>
        <w:t xml:space="preserve"> pirmās instances tiesa sagatavo lietā, kurā atbildētājs nav sniedzis paskaidrojumus un nav ieradies pēc tiesas aicinājuma, nepaziņojot iemeslu</w:t>
      </w:r>
      <w:r w:rsidR="000528A3" w:rsidRPr="00F36B06">
        <w:rPr>
          <w:rStyle w:val="FootnoteReference"/>
          <w:rFonts w:ascii="Times New Roman" w:hAnsi="Times New Roman" w:cs="Times New Roman"/>
        </w:rPr>
        <w:footnoteReference w:id="47"/>
      </w:r>
      <w:r w:rsidR="00C154EB" w:rsidRPr="00F36B06">
        <w:rPr>
          <w:rFonts w:ascii="Times New Roman" w:hAnsi="Times New Roman" w:cs="Times New Roman"/>
        </w:rPr>
        <w:t>.</w:t>
      </w:r>
      <w:r w:rsidR="008C4671" w:rsidRPr="00F36B06">
        <w:rPr>
          <w:rFonts w:ascii="Times New Roman" w:hAnsi="Times New Roman" w:cs="Times New Roman"/>
        </w:rPr>
        <w:t xml:space="preserve"> </w:t>
      </w:r>
      <w:r w:rsidR="006D5EC9" w:rsidRPr="00F36B06">
        <w:rPr>
          <w:rFonts w:ascii="Times New Roman" w:hAnsi="Times New Roman" w:cs="Times New Roman"/>
        </w:rPr>
        <w:t xml:space="preserve">Šāda pie civiltiesiskās atbildības saucamo valdes locekļu attieksme </w:t>
      </w:r>
      <w:r w:rsidR="000147B6" w:rsidRPr="00F36B06">
        <w:rPr>
          <w:rFonts w:ascii="Times New Roman" w:hAnsi="Times New Roman" w:cs="Times New Roman"/>
        </w:rPr>
        <w:t>pret tiesas procesu</w:t>
      </w:r>
      <w:r w:rsidR="00A057B9" w:rsidRPr="00F36B06">
        <w:rPr>
          <w:rFonts w:ascii="Times New Roman" w:hAnsi="Times New Roman" w:cs="Times New Roman"/>
        </w:rPr>
        <w:t xml:space="preserve">, </w:t>
      </w:r>
      <w:r w:rsidR="00764E7F" w:rsidRPr="00F36B06">
        <w:rPr>
          <w:rFonts w:ascii="Times New Roman" w:hAnsi="Times New Roman" w:cs="Times New Roman"/>
        </w:rPr>
        <w:t xml:space="preserve">nesodāmības sajūtas dēļ, </w:t>
      </w:r>
      <w:r w:rsidR="00A057B9" w:rsidRPr="00F36B06">
        <w:rPr>
          <w:rFonts w:ascii="Times New Roman" w:hAnsi="Times New Roman" w:cs="Times New Roman"/>
        </w:rPr>
        <w:t xml:space="preserve">tāpat </w:t>
      </w:r>
      <w:r w:rsidR="00CF7CAE" w:rsidRPr="00F36B06">
        <w:rPr>
          <w:rFonts w:ascii="Times New Roman" w:hAnsi="Times New Roman" w:cs="Times New Roman"/>
        </w:rPr>
        <w:t>kā zemi</w:t>
      </w:r>
      <w:r w:rsidR="00EA122D" w:rsidRPr="00F36B06">
        <w:rPr>
          <w:rFonts w:ascii="Times New Roman" w:hAnsi="Times New Roman" w:cs="Times New Roman"/>
        </w:rPr>
        <w:t xml:space="preserve"> naudas līdzekļu</w:t>
      </w:r>
      <w:r w:rsidR="00CF7CAE" w:rsidRPr="00F36B06">
        <w:rPr>
          <w:rFonts w:ascii="Times New Roman" w:hAnsi="Times New Roman" w:cs="Times New Roman"/>
        </w:rPr>
        <w:t xml:space="preserve"> atgūstamības rādītāji</w:t>
      </w:r>
      <w:r w:rsidR="00EA122D" w:rsidRPr="00F36B06">
        <w:rPr>
          <w:rFonts w:ascii="Times New Roman" w:hAnsi="Times New Roman" w:cs="Times New Roman"/>
        </w:rPr>
        <w:t xml:space="preserve"> maksātnespējas procesos</w:t>
      </w:r>
      <w:r w:rsidR="00734686" w:rsidRPr="00F36B06">
        <w:rPr>
          <w:rFonts w:ascii="Times New Roman" w:hAnsi="Times New Roman" w:cs="Times New Roman"/>
        </w:rPr>
        <w:t xml:space="preserve">, </w:t>
      </w:r>
      <w:r w:rsidR="00F441E8" w:rsidRPr="00F36B06">
        <w:rPr>
          <w:rFonts w:ascii="Times New Roman" w:hAnsi="Times New Roman" w:cs="Times New Roman"/>
        </w:rPr>
        <w:t>norāda</w:t>
      </w:r>
      <w:r w:rsidR="004C0503" w:rsidRPr="00F36B06">
        <w:rPr>
          <w:rFonts w:ascii="Times New Roman" w:hAnsi="Times New Roman" w:cs="Times New Roman"/>
        </w:rPr>
        <w:t xml:space="preserve"> uz </w:t>
      </w:r>
      <w:r w:rsidR="00A96FC3" w:rsidRPr="00F36B06">
        <w:rPr>
          <w:rFonts w:ascii="Times New Roman" w:hAnsi="Times New Roman" w:cs="Times New Roman"/>
        </w:rPr>
        <w:t>šāda veida</w:t>
      </w:r>
      <w:r w:rsidR="00F441E8" w:rsidRPr="00F36B06">
        <w:rPr>
          <w:rFonts w:ascii="Times New Roman" w:hAnsi="Times New Roman" w:cs="Times New Roman"/>
        </w:rPr>
        <w:t xml:space="preserve"> </w:t>
      </w:r>
      <w:r w:rsidR="00E56AE9" w:rsidRPr="00F36B06">
        <w:rPr>
          <w:rFonts w:ascii="Times New Roman" w:hAnsi="Times New Roman" w:cs="Times New Roman"/>
        </w:rPr>
        <w:t xml:space="preserve">zaudējumu atlīdzības prasību </w:t>
      </w:r>
      <w:r w:rsidR="004C0503" w:rsidRPr="00F36B06">
        <w:rPr>
          <w:rFonts w:ascii="Times New Roman" w:hAnsi="Times New Roman" w:cs="Times New Roman"/>
        </w:rPr>
        <w:t>zemu efektivitāti</w:t>
      </w:r>
      <w:r w:rsidR="00043B43" w:rsidRPr="00F36B06">
        <w:rPr>
          <w:rFonts w:ascii="Times New Roman" w:hAnsi="Times New Roman" w:cs="Times New Roman"/>
        </w:rPr>
        <w:t>.</w:t>
      </w:r>
      <w:r w:rsidR="00734686" w:rsidRPr="00F36B06">
        <w:rPr>
          <w:rFonts w:ascii="Times New Roman" w:hAnsi="Times New Roman" w:cs="Times New Roman"/>
        </w:rPr>
        <w:t xml:space="preserve"> </w:t>
      </w:r>
    </w:p>
    <w:p w14:paraId="4B79D891" w14:textId="5D037ECF" w:rsidR="004750C7" w:rsidRDefault="00733C2A" w:rsidP="004750C7">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Tāpat </w:t>
      </w:r>
      <w:r w:rsidR="00B951DA" w:rsidRPr="00F36B06">
        <w:rPr>
          <w:rFonts w:ascii="Times New Roman" w:hAnsi="Times New Roman" w:cs="Times New Roman"/>
        </w:rPr>
        <w:t>jānorāda</w:t>
      </w:r>
      <w:r w:rsidRPr="00F36B06">
        <w:rPr>
          <w:rFonts w:ascii="Times New Roman" w:hAnsi="Times New Roman" w:cs="Times New Roman"/>
        </w:rPr>
        <w:t>, ka saskaņā ar Maksātnespējas likuma</w:t>
      </w:r>
      <w:r w:rsidRPr="00F36B06">
        <w:rPr>
          <w:rFonts w:ascii="Arial" w:hAnsi="Arial" w:cs="Arial"/>
          <w:color w:val="414142"/>
          <w:sz w:val="20"/>
          <w:szCs w:val="20"/>
          <w:shd w:val="clear" w:color="auto" w:fill="FFFFFF"/>
        </w:rPr>
        <w:t xml:space="preserve"> </w:t>
      </w:r>
      <w:r w:rsidRPr="00F36B06">
        <w:rPr>
          <w:rFonts w:ascii="Times New Roman" w:hAnsi="Times New Roman" w:cs="Times New Roman"/>
        </w:rPr>
        <w:t>72.</w:t>
      </w:r>
      <w:r w:rsidRPr="00F36B06">
        <w:rPr>
          <w:rFonts w:ascii="Times New Roman" w:hAnsi="Times New Roman" w:cs="Times New Roman"/>
          <w:vertAlign w:val="superscript"/>
        </w:rPr>
        <w:t>1</w:t>
      </w:r>
      <w:r w:rsidRPr="00F36B06">
        <w:rPr>
          <w:rFonts w:ascii="Times New Roman" w:hAnsi="Times New Roman" w:cs="Times New Roman"/>
        </w:rPr>
        <w:t> pant</w:t>
      </w:r>
      <w:r w:rsidR="00B951DA" w:rsidRPr="00F36B06">
        <w:rPr>
          <w:rFonts w:ascii="Times New Roman" w:hAnsi="Times New Roman" w:cs="Times New Roman"/>
        </w:rPr>
        <w:t>a trešo daļu</w:t>
      </w:r>
      <w:r w:rsidR="003E0E70" w:rsidRPr="00F36B06">
        <w:rPr>
          <w:rFonts w:ascii="Times New Roman" w:hAnsi="Times New Roman" w:cs="Times New Roman"/>
        </w:rPr>
        <w:t>, ja</w:t>
      </w:r>
      <w:r w:rsidRPr="00F36B06">
        <w:rPr>
          <w:rFonts w:ascii="Times New Roman" w:hAnsi="Times New Roman" w:cs="Times New Roman"/>
        </w:rPr>
        <w:t xml:space="preserve"> administrators nav cēlis prasību</w:t>
      </w:r>
      <w:r w:rsidR="00494BD7" w:rsidRPr="00F36B06">
        <w:rPr>
          <w:rFonts w:ascii="Times New Roman" w:hAnsi="Times New Roman" w:cs="Times New Roman"/>
        </w:rPr>
        <w:t xml:space="preserve">  par grāmatvedības dokumentu nenodošanu</w:t>
      </w:r>
      <w:r w:rsidRPr="00F36B06">
        <w:rPr>
          <w:rFonts w:ascii="Times New Roman" w:hAnsi="Times New Roman" w:cs="Times New Roman"/>
        </w:rPr>
        <w:t xml:space="preserve">, gada laikā pēc maksātnespējas procesa pabeigšanas prasību ir tiesīgs celt </w:t>
      </w:r>
      <w:r w:rsidR="00494BD7" w:rsidRPr="00F36B06">
        <w:rPr>
          <w:rFonts w:ascii="Times New Roman" w:hAnsi="Times New Roman" w:cs="Times New Roman"/>
        </w:rPr>
        <w:t xml:space="preserve">arī pats </w:t>
      </w:r>
      <w:r w:rsidRPr="00F36B06">
        <w:rPr>
          <w:rFonts w:ascii="Times New Roman" w:hAnsi="Times New Roman" w:cs="Times New Roman"/>
        </w:rPr>
        <w:t>kreditors sava nesegtā prasījuma apmērā</w:t>
      </w:r>
      <w:r w:rsidR="004750C7" w:rsidRPr="00F36B06">
        <w:rPr>
          <w:rFonts w:ascii="Times New Roman" w:hAnsi="Times New Roman" w:cs="Times New Roman"/>
        </w:rPr>
        <w:t>, tomēr praksē šādi gadījumi nav konstatēti.</w:t>
      </w:r>
    </w:p>
    <w:p w14:paraId="2B270DDD" w14:textId="2A81A90E" w:rsidR="000C5219" w:rsidRPr="00F36B06" w:rsidRDefault="000C5219" w:rsidP="004750C7">
      <w:pPr>
        <w:spacing w:after="0" w:line="240" w:lineRule="auto"/>
        <w:ind w:firstLine="720"/>
        <w:jc w:val="both"/>
        <w:rPr>
          <w:rFonts w:ascii="Times New Roman" w:hAnsi="Times New Roman" w:cs="Times New Roman"/>
        </w:rPr>
      </w:pPr>
      <w:r w:rsidRPr="002D0049">
        <w:rPr>
          <w:rFonts w:ascii="Times New Roman" w:hAnsi="Times New Roman" w:cs="Times New Roman"/>
        </w:rPr>
        <w:t>Prasības par dokumentu nenodošanu ir viena no biežāk sastopamajām zaudējumu atlīdzības formām maksātnespējas procesos – katrā sestajā gadījumā tiek celta prasība, pamatojoties uz Maksātnespējas likuma 72.¹</w:t>
      </w:r>
      <w:r w:rsidR="00192C27" w:rsidRPr="002D0049">
        <w:rPr>
          <w:rFonts w:ascii="Times New Roman" w:hAnsi="Times New Roman" w:cs="Times New Roman"/>
        </w:rPr>
        <w:t> </w:t>
      </w:r>
      <w:r w:rsidRPr="002D0049">
        <w:rPr>
          <w:rFonts w:ascii="Times New Roman" w:hAnsi="Times New Roman" w:cs="Times New Roman"/>
        </w:rPr>
        <w:t>pantu.</w:t>
      </w:r>
      <w:r w:rsidR="00A656AE" w:rsidRPr="002D0049">
        <w:rPr>
          <w:rFonts w:ascii="Times New Roman" w:hAnsi="Times New Roman" w:cs="Times New Roman"/>
        </w:rPr>
        <w:t xml:space="preserve"> Tas uzsver dokumentu nodošanas administratoram nozīmi maksātnespējas procesa efektīv</w:t>
      </w:r>
      <w:r w:rsidR="00537BC6" w:rsidRPr="002D0049">
        <w:rPr>
          <w:rFonts w:ascii="Times New Roman" w:hAnsi="Times New Roman" w:cs="Times New Roman"/>
        </w:rPr>
        <w:t>a</w:t>
      </w:r>
      <w:r w:rsidR="00267953" w:rsidRPr="002D0049">
        <w:rPr>
          <w:rFonts w:ascii="Times New Roman" w:hAnsi="Times New Roman" w:cs="Times New Roman"/>
        </w:rPr>
        <w:t>s</w:t>
      </w:r>
      <w:r w:rsidR="00A656AE" w:rsidRPr="002D0049">
        <w:rPr>
          <w:rFonts w:ascii="Times New Roman" w:hAnsi="Times New Roman" w:cs="Times New Roman"/>
        </w:rPr>
        <w:t xml:space="preserve"> noris</w:t>
      </w:r>
      <w:r w:rsidR="00267953" w:rsidRPr="002D0049">
        <w:rPr>
          <w:rFonts w:ascii="Times New Roman" w:hAnsi="Times New Roman" w:cs="Times New Roman"/>
        </w:rPr>
        <w:t>es nodrošināšanai.</w:t>
      </w:r>
      <w:r w:rsidR="00493D74" w:rsidRPr="002D0049">
        <w:rPr>
          <w:rFonts w:ascii="Times New Roman" w:hAnsi="Times New Roman" w:cs="Times New Roman"/>
        </w:rPr>
        <w:t xml:space="preserve"> Lai arī Maksātnespējas likuma 72.¹</w:t>
      </w:r>
      <w:r w:rsidR="00192C27" w:rsidRPr="002D0049">
        <w:rPr>
          <w:rFonts w:ascii="Times New Roman" w:hAnsi="Times New Roman" w:cs="Times New Roman"/>
        </w:rPr>
        <w:t> </w:t>
      </w:r>
      <w:r w:rsidR="00493D74" w:rsidRPr="002D0049">
        <w:rPr>
          <w:rFonts w:ascii="Times New Roman" w:hAnsi="Times New Roman" w:cs="Times New Roman"/>
        </w:rPr>
        <w:t>pants sniedz būtisku atbalstu zaudējumu atlīdzības prasību celtspējai, tā praktiskā efektivitāte ir ierobežota</w:t>
      </w:r>
      <w:r w:rsidR="00CA4E21" w:rsidRPr="002D0049">
        <w:rPr>
          <w:rFonts w:ascii="Times New Roman" w:hAnsi="Times New Roman" w:cs="Times New Roman"/>
        </w:rPr>
        <w:t>,</w:t>
      </w:r>
      <w:r w:rsidR="00187397" w:rsidRPr="002D0049">
        <w:rPr>
          <w:rFonts w:ascii="Times New Roman" w:hAnsi="Times New Roman" w:cs="Times New Roman"/>
        </w:rPr>
        <w:t xml:space="preserve"> </w:t>
      </w:r>
      <w:r w:rsidR="003D4A10" w:rsidRPr="002D0049">
        <w:rPr>
          <w:rFonts w:ascii="Times New Roman" w:hAnsi="Times New Roman" w:cs="Times New Roman"/>
        </w:rPr>
        <w:t>līdzīgi kā vispārējā kārtībā celtajām zaudējumu prasībām.</w:t>
      </w:r>
      <w:r w:rsidR="00A874EF" w:rsidRPr="002D0049">
        <w:rPr>
          <w:rFonts w:ascii="Times New Roman" w:hAnsi="Times New Roman" w:cs="Times New Roman"/>
        </w:rPr>
        <w:t xml:space="preserve"> Līdz ar to a</w:t>
      </w:r>
      <w:r w:rsidR="00493D74" w:rsidRPr="002D0049">
        <w:rPr>
          <w:rFonts w:ascii="Times New Roman" w:hAnsi="Times New Roman" w:cs="Times New Roman"/>
        </w:rPr>
        <w:t>dministratīv</w:t>
      </w:r>
      <w:r w:rsidR="008E43C3" w:rsidRPr="002D0049">
        <w:rPr>
          <w:rFonts w:ascii="Times New Roman" w:hAnsi="Times New Roman" w:cs="Times New Roman"/>
        </w:rPr>
        <w:t>ie sodi</w:t>
      </w:r>
      <w:r w:rsidR="00493D74" w:rsidRPr="002D0049">
        <w:rPr>
          <w:rFonts w:ascii="Times New Roman" w:hAnsi="Times New Roman" w:cs="Times New Roman"/>
        </w:rPr>
        <w:t xml:space="preserve"> un </w:t>
      </w:r>
      <w:r w:rsidR="0099590B" w:rsidRPr="002D0049">
        <w:rPr>
          <w:rFonts w:ascii="Times New Roman" w:hAnsi="Times New Roman" w:cs="Times New Roman"/>
        </w:rPr>
        <w:t xml:space="preserve">īpaši </w:t>
      </w:r>
      <w:r w:rsidR="00493D74" w:rsidRPr="002D0049">
        <w:rPr>
          <w:rFonts w:ascii="Times New Roman" w:hAnsi="Times New Roman" w:cs="Times New Roman"/>
        </w:rPr>
        <w:t xml:space="preserve">papildsodi kļūst par nozīmīgākiem instrumentiem šādos gadījumos nekā faktiskā atlīdzība. </w:t>
      </w:r>
      <w:r w:rsidR="00D1294A" w:rsidRPr="002D0049">
        <w:rPr>
          <w:rFonts w:ascii="Times New Roman" w:hAnsi="Times New Roman" w:cs="Times New Roman"/>
        </w:rPr>
        <w:t xml:space="preserve">Līdz ar to arī </w:t>
      </w:r>
      <w:r w:rsidR="00172D1A" w:rsidRPr="002D0049">
        <w:rPr>
          <w:rFonts w:ascii="Times New Roman" w:hAnsi="Times New Roman" w:cs="Times New Roman"/>
        </w:rPr>
        <w:t xml:space="preserve">attiecībā uz </w:t>
      </w:r>
      <w:r w:rsidR="006D6931" w:rsidRPr="002D0049">
        <w:rPr>
          <w:rFonts w:ascii="Times New Roman" w:hAnsi="Times New Roman" w:cs="Times New Roman"/>
        </w:rPr>
        <w:t>Maksātnespējas likuma 72.¹ pantu jāmeklē risinājumi, lai</w:t>
      </w:r>
      <w:r w:rsidR="00493D74" w:rsidRPr="002D0049">
        <w:rPr>
          <w:rFonts w:ascii="Times New Roman" w:hAnsi="Times New Roman" w:cs="Times New Roman"/>
        </w:rPr>
        <w:t xml:space="preserve"> uzlabot</w:t>
      </w:r>
      <w:r w:rsidR="009D655F" w:rsidRPr="002D0049">
        <w:rPr>
          <w:rFonts w:ascii="Times New Roman" w:hAnsi="Times New Roman" w:cs="Times New Roman"/>
        </w:rPr>
        <w:t>u</w:t>
      </w:r>
      <w:r w:rsidR="00493D74" w:rsidRPr="002D0049">
        <w:rPr>
          <w:rFonts w:ascii="Times New Roman" w:hAnsi="Times New Roman" w:cs="Times New Roman"/>
        </w:rPr>
        <w:t xml:space="preserve"> valdes locekļu atbildības mehānismus</w:t>
      </w:r>
      <w:r w:rsidR="001E0DBA" w:rsidRPr="002D0049">
        <w:rPr>
          <w:rFonts w:ascii="Times New Roman" w:hAnsi="Times New Roman" w:cs="Times New Roman"/>
        </w:rPr>
        <w:t xml:space="preserve">, tostarp </w:t>
      </w:r>
      <w:r w:rsidR="009528CA" w:rsidRPr="002D0049">
        <w:rPr>
          <w:rFonts w:ascii="Times New Roman" w:hAnsi="Times New Roman" w:cs="Times New Roman"/>
        </w:rPr>
        <w:t xml:space="preserve">administratoriem </w:t>
      </w:r>
      <w:r w:rsidR="00493D74" w:rsidRPr="002D0049">
        <w:rPr>
          <w:rFonts w:ascii="Times New Roman" w:hAnsi="Times New Roman" w:cs="Times New Roman"/>
        </w:rPr>
        <w:t>stiprināt kontroles pasākumus</w:t>
      </w:r>
      <w:r w:rsidR="00EC70DE" w:rsidRPr="002D0049">
        <w:rPr>
          <w:rFonts w:ascii="Times New Roman" w:hAnsi="Times New Roman" w:cs="Times New Roman"/>
        </w:rPr>
        <w:t xml:space="preserve"> par valdes locekļu rīcību, </w:t>
      </w:r>
      <w:r w:rsidR="0044127D" w:rsidRPr="002D0049">
        <w:rPr>
          <w:rFonts w:ascii="Times New Roman" w:hAnsi="Times New Roman" w:cs="Times New Roman"/>
        </w:rPr>
        <w:t xml:space="preserve">nepieciešamības gadījumā vēršoties ar iesniegumu par </w:t>
      </w:r>
      <w:r w:rsidR="008A24EE" w:rsidRPr="002D0049">
        <w:rPr>
          <w:rFonts w:ascii="Times New Roman" w:hAnsi="Times New Roman" w:cs="Times New Roman"/>
        </w:rPr>
        <w:t>administratīvā pārkāpuma procesa lietas ierosināšanu.</w:t>
      </w:r>
    </w:p>
    <w:p w14:paraId="7EFD7AC0" w14:textId="4AFC4898" w:rsidR="00A1567D" w:rsidRPr="00F36B06" w:rsidRDefault="00A1567D" w:rsidP="004750C7">
      <w:pPr>
        <w:spacing w:after="0" w:line="240" w:lineRule="auto"/>
        <w:ind w:firstLine="720"/>
        <w:jc w:val="both"/>
      </w:pPr>
      <w:r w:rsidRPr="00F36B06">
        <w:tab/>
      </w:r>
    </w:p>
    <w:p w14:paraId="400FC708" w14:textId="77777777" w:rsidR="00A1567D" w:rsidRPr="00F36B06" w:rsidRDefault="00A1567D" w:rsidP="009D295A">
      <w:pPr>
        <w:spacing w:after="0" w:line="240" w:lineRule="auto"/>
      </w:pPr>
      <w:r w:rsidRPr="00F36B06">
        <w:br w:type="page"/>
      </w:r>
    </w:p>
    <w:p w14:paraId="48F2B56B" w14:textId="147ADBB9" w:rsidR="00A1567D" w:rsidRPr="0044210D" w:rsidRDefault="007E5732" w:rsidP="000A45F8">
      <w:pPr>
        <w:pStyle w:val="Heading2"/>
        <w:spacing w:before="0" w:after="240" w:line="240" w:lineRule="auto"/>
        <w:jc w:val="center"/>
        <w:rPr>
          <w:rFonts w:ascii="Times New Roman" w:hAnsi="Times New Roman" w:cs="Times New Roman"/>
          <w:b/>
          <w:bCs/>
          <w:color w:val="auto"/>
          <w:sz w:val="24"/>
          <w:szCs w:val="24"/>
        </w:rPr>
      </w:pPr>
      <w:bookmarkStart w:id="14" w:name="_Toc198649022"/>
      <w:r>
        <w:rPr>
          <w:noProof/>
        </w:rPr>
        <w:lastRenderedPageBreak/>
        <mc:AlternateContent>
          <mc:Choice Requires="wps">
            <w:drawing>
              <wp:anchor distT="0" distB="0" distL="114300" distR="114300" simplePos="0" relativeHeight="251674624" behindDoc="0" locked="0" layoutInCell="1" allowOverlap="1" wp14:anchorId="745530C8" wp14:editId="380CF5FD">
                <wp:simplePos x="0" y="0"/>
                <wp:positionH relativeFrom="margin">
                  <wp:align>right</wp:align>
                </wp:positionH>
                <wp:positionV relativeFrom="paragraph">
                  <wp:posOffset>-107356</wp:posOffset>
                </wp:positionV>
                <wp:extent cx="5902036" cy="308759"/>
                <wp:effectExtent l="0" t="0" r="22860" b="15240"/>
                <wp:wrapNone/>
                <wp:docPr id="1336374184" name="Text Box 8"/>
                <wp:cNvGraphicFramePr/>
                <a:graphic xmlns:a="http://schemas.openxmlformats.org/drawingml/2006/main">
                  <a:graphicData uri="http://schemas.microsoft.com/office/word/2010/wordprocessingShape">
                    <wps:wsp>
                      <wps:cNvSpPr txBox="1"/>
                      <wps:spPr>
                        <a:xfrm>
                          <a:off x="0" y="0"/>
                          <a:ext cx="5902036" cy="308759"/>
                        </a:xfrm>
                        <a:prstGeom prst="rect">
                          <a:avLst/>
                        </a:prstGeom>
                        <a:solidFill>
                          <a:srgbClr val="B3E3FA"/>
                        </a:solidFill>
                        <a:ln w="6350">
                          <a:solidFill>
                            <a:schemeClr val="bg1"/>
                          </a:solidFill>
                        </a:ln>
                      </wps:spPr>
                      <wps:txbx>
                        <w:txbxContent>
                          <w:p w14:paraId="73FCE608" w14:textId="7FA6EBC5" w:rsidR="007E5732" w:rsidRPr="007E5732" w:rsidRDefault="007E5732" w:rsidP="007E5732">
                            <w:pPr>
                              <w:jc w:val="center"/>
                              <w:rPr>
                                <w:rFonts w:ascii="Times New Roman" w:hAnsi="Times New Roman" w:cs="Times New Roman"/>
                                <w:b/>
                                <w:bCs/>
                                <w:sz w:val="28"/>
                                <w:szCs w:val="28"/>
                              </w:rPr>
                            </w:pPr>
                            <w:r w:rsidRPr="007E5732">
                              <w:rPr>
                                <w:rFonts w:ascii="Times New Roman" w:hAnsi="Times New Roman" w:cs="Times New Roman"/>
                                <w:b/>
                                <w:bCs/>
                                <w:sz w:val="28"/>
                                <w:szCs w:val="28"/>
                              </w:rPr>
                              <w:t>3. Darījumu apstrīdēšanas prasības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30C8" id="_x0000_s1033" type="#_x0000_t202" style="position:absolute;left:0;text-align:left;margin-left:413.55pt;margin-top:-8.45pt;width:464.75pt;height:24.3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" fillcolor="#b3e3fa" strokecolor="white [3212]" strokeweight=".5pt">
                <v:textbox>
                  <w:txbxContent>
                    <w:p w14:paraId="73FCE608" w14:textId="7FA6EBC5" w:rsidR="007E5732" w:rsidRPr="007E5732" w:rsidRDefault="007E5732" w:rsidP="007E5732">
                      <w:pPr>
                        <w:jc w:val="center"/>
                        <w:rPr>
                          <w:rFonts w:ascii="Times New Roman" w:hAnsi="Times New Roman" w:cs="Times New Roman"/>
                          <w:b/>
                          <w:bCs/>
                          <w:sz w:val="28"/>
                          <w:szCs w:val="28"/>
                        </w:rPr>
                      </w:pPr>
                      <w:r w:rsidRPr="007E5732">
                        <w:rPr>
                          <w:rFonts w:ascii="Times New Roman" w:hAnsi="Times New Roman" w:cs="Times New Roman"/>
                          <w:b/>
                          <w:bCs/>
                          <w:sz w:val="28"/>
                          <w:szCs w:val="28"/>
                        </w:rPr>
                        <w:t>3. Darījumu apstrīdēšanas prasības</w:t>
                      </w:r>
                    </w:p>
                  </w:txbxContent>
                </v:textbox>
                <w10:wrap anchorx="margin"/>
              </v:shape>
            </w:pict>
          </mc:Fallback>
        </mc:AlternateContent>
      </w:r>
      <w:bookmarkEnd w:id="14"/>
    </w:p>
    <w:p w14:paraId="25ABFCD0" w14:textId="77777777" w:rsidR="00EE6DA0" w:rsidRPr="00F36B06" w:rsidRDefault="00586B59" w:rsidP="001F5D77">
      <w:pPr>
        <w:spacing w:after="0" w:line="240" w:lineRule="auto"/>
        <w:ind w:firstLine="720"/>
        <w:jc w:val="both"/>
        <w:rPr>
          <w:rFonts w:ascii="Times New Roman" w:hAnsi="Times New Roman" w:cs="Times New Roman"/>
        </w:rPr>
      </w:pPr>
      <w:r w:rsidRPr="00F36B06">
        <w:rPr>
          <w:rFonts w:ascii="Times New Roman" w:hAnsi="Times New Roman" w:cs="Times New Roman"/>
        </w:rPr>
        <w:t>M</w:t>
      </w:r>
      <w:r w:rsidR="001F5D77" w:rsidRPr="00F36B06">
        <w:rPr>
          <w:rFonts w:ascii="Times New Roman" w:hAnsi="Times New Roman" w:cs="Times New Roman"/>
        </w:rPr>
        <w:t>aksātnespējas proces</w:t>
      </w:r>
      <w:r w:rsidRPr="00F36B06">
        <w:rPr>
          <w:rFonts w:ascii="Times New Roman" w:hAnsi="Times New Roman" w:cs="Times New Roman"/>
        </w:rPr>
        <w:t xml:space="preserve">ā var būt </w:t>
      </w:r>
      <w:r w:rsidR="001F5D77" w:rsidRPr="00F36B06">
        <w:rPr>
          <w:rFonts w:ascii="Times New Roman" w:hAnsi="Times New Roman" w:cs="Times New Roman"/>
        </w:rPr>
        <w:t>situācijas, kad parādniekam ir skaidrs, ka no maksātnespējas nebūs iespējams izvairīties</w:t>
      </w:r>
      <w:r w:rsidR="005F6DCC" w:rsidRPr="00F36B06">
        <w:rPr>
          <w:rFonts w:ascii="Times New Roman" w:hAnsi="Times New Roman" w:cs="Times New Roman"/>
        </w:rPr>
        <w:t>,</w:t>
      </w:r>
      <w:r w:rsidR="001F5D77" w:rsidRPr="00F36B06">
        <w:rPr>
          <w:rFonts w:ascii="Times New Roman" w:hAnsi="Times New Roman" w:cs="Times New Roman"/>
        </w:rPr>
        <w:t xml:space="preserve"> krietni agrāk nekā tiek iesniegts pieteikums par maksātnespējas procesa uzsākšanu. Šādos gadījumos parādnieks </w:t>
      </w:r>
      <w:r w:rsidR="008C5653" w:rsidRPr="00F36B06">
        <w:rPr>
          <w:rFonts w:ascii="Times New Roman" w:hAnsi="Times New Roman" w:cs="Times New Roman"/>
        </w:rPr>
        <w:t xml:space="preserve">var </w:t>
      </w:r>
      <w:r w:rsidR="001F5D77" w:rsidRPr="00F36B06">
        <w:rPr>
          <w:rFonts w:ascii="Times New Roman" w:hAnsi="Times New Roman" w:cs="Times New Roman"/>
        </w:rPr>
        <w:t>mēģin</w:t>
      </w:r>
      <w:r w:rsidR="008C5653" w:rsidRPr="00F36B06">
        <w:rPr>
          <w:rFonts w:ascii="Times New Roman" w:hAnsi="Times New Roman" w:cs="Times New Roman"/>
        </w:rPr>
        <w:t>āt</w:t>
      </w:r>
      <w:r w:rsidR="001F5D77" w:rsidRPr="00F36B06">
        <w:rPr>
          <w:rFonts w:ascii="Times New Roman" w:hAnsi="Times New Roman" w:cs="Times New Roman"/>
        </w:rPr>
        <w:t xml:space="preserve"> slēpt aktīvus no kreditoriem,</w:t>
      </w:r>
      <w:r w:rsidR="008C5653" w:rsidRPr="00F36B06">
        <w:rPr>
          <w:rFonts w:ascii="Times New Roman" w:hAnsi="Times New Roman" w:cs="Times New Roman"/>
        </w:rPr>
        <w:t xml:space="preserve"> piemēram</w:t>
      </w:r>
      <w:r w:rsidR="00F95707" w:rsidRPr="00F36B06">
        <w:rPr>
          <w:rFonts w:ascii="Times New Roman" w:hAnsi="Times New Roman" w:cs="Times New Roman"/>
        </w:rPr>
        <w:t>,</w:t>
      </w:r>
      <w:r w:rsidR="001F5D77" w:rsidRPr="00F36B06">
        <w:rPr>
          <w:rFonts w:ascii="Times New Roman" w:hAnsi="Times New Roman" w:cs="Times New Roman"/>
        </w:rPr>
        <w:t xml:space="preserve"> uzņemties fiktīvas saistības, veikt ziedojumus vai dāvinājumus radiniekiem, draugiem, pārvaldes institūciju locekļiem vai citām ieinteresētajām personām vai samaksāt noteiktiem kreditoriem, izslēdzot citus.</w:t>
      </w:r>
      <w:r w:rsidR="004B12B4" w:rsidRPr="00F36B06">
        <w:rPr>
          <w:rFonts w:ascii="Times New Roman" w:hAnsi="Times New Roman" w:cs="Times New Roman"/>
        </w:rPr>
        <w:t xml:space="preserve"> </w:t>
      </w:r>
    </w:p>
    <w:p w14:paraId="45D4FBAB" w14:textId="74276072" w:rsidR="00A96EAD" w:rsidRPr="00F36B06" w:rsidRDefault="008E0C11" w:rsidP="001F5D77">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Lai novērstu </w:t>
      </w:r>
      <w:r w:rsidR="00F95707" w:rsidRPr="00F36B06">
        <w:rPr>
          <w:rFonts w:ascii="Times New Roman" w:hAnsi="Times New Roman" w:cs="Times New Roman"/>
        </w:rPr>
        <w:t xml:space="preserve">šo darbību rezultātā radušās </w:t>
      </w:r>
      <w:r w:rsidRPr="00F36B06">
        <w:rPr>
          <w:rFonts w:ascii="Times New Roman" w:hAnsi="Times New Roman" w:cs="Times New Roman"/>
        </w:rPr>
        <w:t>kaitīg</w:t>
      </w:r>
      <w:r w:rsidR="00A754FE" w:rsidRPr="00F36B06">
        <w:rPr>
          <w:rFonts w:ascii="Times New Roman" w:hAnsi="Times New Roman" w:cs="Times New Roman"/>
        </w:rPr>
        <w:t>ā</w:t>
      </w:r>
      <w:r w:rsidRPr="00F36B06">
        <w:rPr>
          <w:rFonts w:ascii="Times New Roman" w:hAnsi="Times New Roman" w:cs="Times New Roman"/>
        </w:rPr>
        <w:t>s sekas, administrator</w:t>
      </w:r>
      <w:r w:rsidR="00932A4E" w:rsidRPr="00F36B06">
        <w:rPr>
          <w:rFonts w:ascii="Times New Roman" w:hAnsi="Times New Roman" w:cs="Times New Roman"/>
        </w:rPr>
        <w:t>s var</w:t>
      </w:r>
      <w:r w:rsidRPr="00F36B06">
        <w:rPr>
          <w:rFonts w:ascii="Times New Roman" w:hAnsi="Times New Roman" w:cs="Times New Roman"/>
        </w:rPr>
        <w:t xml:space="preserve"> pārskatīt </w:t>
      </w:r>
      <w:r w:rsidR="004B12B4" w:rsidRPr="00F36B06">
        <w:rPr>
          <w:rFonts w:ascii="Times New Roman" w:hAnsi="Times New Roman" w:cs="Times New Roman"/>
        </w:rPr>
        <w:t>p</w:t>
      </w:r>
      <w:r w:rsidR="001F5D77" w:rsidRPr="00F36B06">
        <w:rPr>
          <w:rFonts w:ascii="Times New Roman" w:hAnsi="Times New Roman" w:cs="Times New Roman"/>
        </w:rPr>
        <w:t xml:space="preserve">arādnieka </w:t>
      </w:r>
      <w:r w:rsidR="005E79E4" w:rsidRPr="00F36B06">
        <w:rPr>
          <w:rFonts w:ascii="Times New Roman" w:hAnsi="Times New Roman" w:cs="Times New Roman"/>
        </w:rPr>
        <w:t>pirms maksātnespējas procesa pasludināšanas noslēgto</w:t>
      </w:r>
      <w:r w:rsidRPr="00F36B06">
        <w:rPr>
          <w:rFonts w:ascii="Times New Roman" w:hAnsi="Times New Roman" w:cs="Times New Roman"/>
        </w:rPr>
        <w:t>s</w:t>
      </w:r>
      <w:r w:rsidR="001F5D77" w:rsidRPr="00F36B06">
        <w:rPr>
          <w:rFonts w:ascii="Times New Roman" w:hAnsi="Times New Roman" w:cs="Times New Roman"/>
        </w:rPr>
        <w:t xml:space="preserve"> darījumu</w:t>
      </w:r>
      <w:r w:rsidRPr="00F36B06">
        <w:rPr>
          <w:rFonts w:ascii="Times New Roman" w:hAnsi="Times New Roman" w:cs="Times New Roman"/>
        </w:rPr>
        <w:t>s</w:t>
      </w:r>
      <w:r w:rsidR="00B341ED" w:rsidRPr="00F36B06">
        <w:rPr>
          <w:rFonts w:ascii="Times New Roman" w:hAnsi="Times New Roman" w:cs="Times New Roman"/>
        </w:rPr>
        <w:t xml:space="preserve"> un nepieciešamības gadījumā </w:t>
      </w:r>
      <w:r w:rsidR="001F5D77" w:rsidRPr="00F36B06">
        <w:rPr>
          <w:rFonts w:ascii="Times New Roman" w:hAnsi="Times New Roman" w:cs="Times New Roman"/>
        </w:rPr>
        <w:t>apstrīdē</w:t>
      </w:r>
      <w:r w:rsidR="00B341ED" w:rsidRPr="00F36B06">
        <w:rPr>
          <w:rFonts w:ascii="Times New Roman" w:hAnsi="Times New Roman" w:cs="Times New Roman"/>
        </w:rPr>
        <w:t>t tos</w:t>
      </w:r>
      <w:r w:rsidR="00914544" w:rsidRPr="00F36B06">
        <w:rPr>
          <w:rFonts w:ascii="Times New Roman" w:hAnsi="Times New Roman" w:cs="Times New Roman"/>
        </w:rPr>
        <w:t>. Līdz ar to darījuma apstrīdēšana</w:t>
      </w:r>
      <w:r w:rsidR="001F5D77" w:rsidRPr="00F36B06">
        <w:rPr>
          <w:rFonts w:ascii="Times New Roman" w:hAnsi="Times New Roman" w:cs="Times New Roman"/>
        </w:rPr>
        <w:t xml:space="preserve"> maksātnespējas procesā ir viens no instrumentiem parādnieka mantas atgūšanai. </w:t>
      </w:r>
      <w:r w:rsidR="00DF53EA" w:rsidRPr="00F36B06">
        <w:rPr>
          <w:rFonts w:ascii="Times New Roman" w:hAnsi="Times New Roman" w:cs="Times New Roman"/>
        </w:rPr>
        <w:t>Tāpat kā šā pētījuma iepriekšējās</w:t>
      </w:r>
      <w:r w:rsidR="00A73DC9" w:rsidRPr="00F36B06">
        <w:rPr>
          <w:rFonts w:ascii="Times New Roman" w:hAnsi="Times New Roman" w:cs="Times New Roman"/>
        </w:rPr>
        <w:t xml:space="preserve"> apakšnodaļās minēt</w:t>
      </w:r>
      <w:r w:rsidR="00697349" w:rsidRPr="00F36B06">
        <w:rPr>
          <w:rFonts w:ascii="Times New Roman" w:hAnsi="Times New Roman" w:cs="Times New Roman"/>
        </w:rPr>
        <w:t>o</w:t>
      </w:r>
      <w:r w:rsidR="00A73DC9" w:rsidRPr="00F36B06">
        <w:rPr>
          <w:rFonts w:ascii="Times New Roman" w:hAnsi="Times New Roman" w:cs="Times New Roman"/>
        </w:rPr>
        <w:t xml:space="preserve"> tiesisk</w:t>
      </w:r>
      <w:r w:rsidR="00697349" w:rsidRPr="00F36B06">
        <w:rPr>
          <w:rFonts w:ascii="Times New Roman" w:hAnsi="Times New Roman" w:cs="Times New Roman"/>
        </w:rPr>
        <w:t>o</w:t>
      </w:r>
      <w:r w:rsidR="00A73DC9" w:rsidRPr="00F36B06">
        <w:rPr>
          <w:rFonts w:ascii="Times New Roman" w:hAnsi="Times New Roman" w:cs="Times New Roman"/>
        </w:rPr>
        <w:t xml:space="preserve"> ins</w:t>
      </w:r>
      <w:r w:rsidR="00455FE6" w:rsidRPr="00F36B06">
        <w:rPr>
          <w:rFonts w:ascii="Times New Roman" w:hAnsi="Times New Roman" w:cs="Times New Roman"/>
        </w:rPr>
        <w:t>trument</w:t>
      </w:r>
      <w:r w:rsidR="00697349" w:rsidRPr="00F36B06">
        <w:rPr>
          <w:rFonts w:ascii="Times New Roman" w:hAnsi="Times New Roman" w:cs="Times New Roman"/>
        </w:rPr>
        <w:t>u</w:t>
      </w:r>
      <w:r w:rsidR="004118C0" w:rsidRPr="00F36B06">
        <w:rPr>
          <w:rFonts w:ascii="Times New Roman" w:hAnsi="Times New Roman" w:cs="Times New Roman"/>
        </w:rPr>
        <w:t>,</w:t>
      </w:r>
      <w:r w:rsidR="004253EA" w:rsidRPr="00F36B06">
        <w:rPr>
          <w:rFonts w:ascii="Times New Roman" w:hAnsi="Times New Roman" w:cs="Times New Roman"/>
        </w:rPr>
        <w:t xml:space="preserve"> arī</w:t>
      </w:r>
      <w:r w:rsidR="00316EE8" w:rsidRPr="00F36B06">
        <w:rPr>
          <w:rFonts w:ascii="Times New Roman" w:hAnsi="Times New Roman" w:cs="Times New Roman"/>
        </w:rPr>
        <w:t xml:space="preserve"> darījumu apstrīdēšana</w:t>
      </w:r>
      <w:r w:rsidR="00A82920" w:rsidRPr="00F36B06">
        <w:rPr>
          <w:rFonts w:ascii="Times New Roman" w:hAnsi="Times New Roman" w:cs="Times New Roman"/>
        </w:rPr>
        <w:t xml:space="preserve">s mērķis ir ne tikai mantas </w:t>
      </w:r>
      <w:r w:rsidR="00E74B9D" w:rsidRPr="00F36B06">
        <w:rPr>
          <w:rFonts w:ascii="Times New Roman" w:hAnsi="Times New Roman" w:cs="Times New Roman"/>
        </w:rPr>
        <w:t>atgūšana katrā konkrēt</w:t>
      </w:r>
      <w:r w:rsidR="00435321" w:rsidRPr="00F36B06">
        <w:rPr>
          <w:rFonts w:ascii="Times New Roman" w:hAnsi="Times New Roman" w:cs="Times New Roman"/>
        </w:rPr>
        <w:t>ā procesā</w:t>
      </w:r>
      <w:r w:rsidR="004253EA" w:rsidRPr="00F36B06">
        <w:rPr>
          <w:rFonts w:ascii="Times New Roman" w:hAnsi="Times New Roman" w:cs="Times New Roman"/>
        </w:rPr>
        <w:t xml:space="preserve">, bet arī </w:t>
      </w:r>
      <w:proofErr w:type="spellStart"/>
      <w:r w:rsidR="004253EA" w:rsidRPr="00F36B06">
        <w:rPr>
          <w:rFonts w:ascii="Times New Roman" w:hAnsi="Times New Roman" w:cs="Times New Roman"/>
        </w:rPr>
        <w:t>prevencija</w:t>
      </w:r>
      <w:proofErr w:type="spellEnd"/>
      <w:r w:rsidR="004253EA" w:rsidRPr="00F36B06">
        <w:rPr>
          <w:rFonts w:ascii="Times New Roman" w:hAnsi="Times New Roman" w:cs="Times New Roman"/>
        </w:rPr>
        <w:t xml:space="preserve"> </w:t>
      </w:r>
      <w:r w:rsidR="00993645" w:rsidRPr="00F36B06">
        <w:rPr>
          <w:rFonts w:ascii="Times New Roman" w:hAnsi="Times New Roman" w:cs="Times New Roman"/>
        </w:rPr>
        <w:t>–</w:t>
      </w:r>
      <w:r w:rsidR="001F5D77" w:rsidRPr="00F36B06">
        <w:rPr>
          <w:rFonts w:ascii="Times New Roman" w:hAnsi="Times New Roman" w:cs="Times New Roman"/>
        </w:rPr>
        <w:t xml:space="preserve"> </w:t>
      </w:r>
      <w:r w:rsidR="00993645" w:rsidRPr="00F36B06">
        <w:rPr>
          <w:rFonts w:ascii="Times New Roman" w:hAnsi="Times New Roman" w:cs="Times New Roman"/>
        </w:rPr>
        <w:t xml:space="preserve">atturēt </w:t>
      </w:r>
      <w:r w:rsidR="001F5D77" w:rsidRPr="00F36B06">
        <w:rPr>
          <w:rFonts w:ascii="Times New Roman" w:hAnsi="Times New Roman" w:cs="Times New Roman"/>
        </w:rPr>
        <w:t xml:space="preserve">parādnieku </w:t>
      </w:r>
      <w:r w:rsidR="00BB26A8" w:rsidRPr="00F36B06">
        <w:rPr>
          <w:rFonts w:ascii="Times New Roman" w:hAnsi="Times New Roman" w:cs="Times New Roman"/>
        </w:rPr>
        <w:t>un ar parādnieku saistīt</w:t>
      </w:r>
      <w:r w:rsidR="00993645" w:rsidRPr="00F36B06">
        <w:rPr>
          <w:rFonts w:ascii="Times New Roman" w:hAnsi="Times New Roman" w:cs="Times New Roman"/>
        </w:rPr>
        <w:t>ās</w:t>
      </w:r>
      <w:r w:rsidR="00BB26A8" w:rsidRPr="00F36B06">
        <w:rPr>
          <w:rFonts w:ascii="Times New Roman" w:hAnsi="Times New Roman" w:cs="Times New Roman"/>
        </w:rPr>
        <w:t xml:space="preserve"> person</w:t>
      </w:r>
      <w:r w:rsidR="00993645" w:rsidRPr="00F36B06">
        <w:rPr>
          <w:rFonts w:ascii="Times New Roman" w:hAnsi="Times New Roman" w:cs="Times New Roman"/>
        </w:rPr>
        <w:t>as</w:t>
      </w:r>
      <w:r w:rsidR="00CB3185" w:rsidRPr="00F36B06">
        <w:rPr>
          <w:rFonts w:ascii="Times New Roman" w:hAnsi="Times New Roman" w:cs="Times New Roman"/>
        </w:rPr>
        <w:t>, tostarp kreditoru</w:t>
      </w:r>
      <w:r w:rsidR="00993645" w:rsidRPr="00F36B06">
        <w:rPr>
          <w:rFonts w:ascii="Times New Roman" w:hAnsi="Times New Roman" w:cs="Times New Roman"/>
        </w:rPr>
        <w:t>s</w:t>
      </w:r>
      <w:r w:rsidR="00CB3185" w:rsidRPr="00F36B06">
        <w:rPr>
          <w:rFonts w:ascii="Times New Roman" w:hAnsi="Times New Roman" w:cs="Times New Roman"/>
        </w:rPr>
        <w:t xml:space="preserve"> </w:t>
      </w:r>
      <w:r w:rsidR="001F5D77" w:rsidRPr="00F36B06">
        <w:rPr>
          <w:rFonts w:ascii="Times New Roman" w:hAnsi="Times New Roman" w:cs="Times New Roman"/>
        </w:rPr>
        <w:t>no tādām darbībām, kas rada kaitējumu kreditoru kopuma interesēm</w:t>
      </w:r>
      <w:r w:rsidR="00A96EAD" w:rsidRPr="00F36B06">
        <w:rPr>
          <w:rFonts w:ascii="Times New Roman" w:hAnsi="Times New Roman" w:cs="Times New Roman"/>
        </w:rPr>
        <w:t xml:space="preserve">, </w:t>
      </w:r>
      <w:r w:rsidR="00E06A13" w:rsidRPr="00F36B06">
        <w:rPr>
          <w:rFonts w:ascii="Times New Roman" w:hAnsi="Times New Roman" w:cs="Times New Roman"/>
        </w:rPr>
        <w:t>tādējādi veicinot</w:t>
      </w:r>
      <w:r w:rsidR="001F5D77" w:rsidRPr="00F36B06">
        <w:rPr>
          <w:rFonts w:ascii="Times New Roman" w:hAnsi="Times New Roman" w:cs="Times New Roman"/>
        </w:rPr>
        <w:t xml:space="preserve"> godīg</w:t>
      </w:r>
      <w:r w:rsidR="00A96EAD" w:rsidRPr="00F36B06">
        <w:rPr>
          <w:rFonts w:ascii="Times New Roman" w:hAnsi="Times New Roman" w:cs="Times New Roman"/>
        </w:rPr>
        <w:t>as</w:t>
      </w:r>
      <w:r w:rsidR="001F5D77" w:rsidRPr="00F36B06">
        <w:rPr>
          <w:rFonts w:ascii="Times New Roman" w:hAnsi="Times New Roman" w:cs="Times New Roman"/>
        </w:rPr>
        <w:t xml:space="preserve"> </w:t>
      </w:r>
      <w:proofErr w:type="spellStart"/>
      <w:r w:rsidR="001F5D77" w:rsidRPr="00F36B06">
        <w:rPr>
          <w:rFonts w:ascii="Times New Roman" w:hAnsi="Times New Roman" w:cs="Times New Roman"/>
        </w:rPr>
        <w:t>komercpraks</w:t>
      </w:r>
      <w:r w:rsidR="00A96EAD" w:rsidRPr="00F36B06">
        <w:rPr>
          <w:rFonts w:ascii="Times New Roman" w:hAnsi="Times New Roman" w:cs="Times New Roman"/>
        </w:rPr>
        <w:t>es</w:t>
      </w:r>
      <w:proofErr w:type="spellEnd"/>
      <w:r w:rsidR="00A96EAD" w:rsidRPr="00F36B06">
        <w:rPr>
          <w:rFonts w:ascii="Times New Roman" w:hAnsi="Times New Roman" w:cs="Times New Roman"/>
        </w:rPr>
        <w:t xml:space="preserve"> veidošanos.</w:t>
      </w:r>
    </w:p>
    <w:p w14:paraId="1F603D95" w14:textId="210B33F5" w:rsidR="00904892" w:rsidRPr="00F36B06" w:rsidRDefault="00904892" w:rsidP="001F5D77">
      <w:pPr>
        <w:spacing w:after="0" w:line="240" w:lineRule="auto"/>
        <w:ind w:firstLine="720"/>
        <w:jc w:val="both"/>
        <w:rPr>
          <w:rFonts w:ascii="Times New Roman" w:hAnsi="Times New Roman" w:cs="Times New Roman"/>
        </w:rPr>
      </w:pPr>
      <w:r w:rsidRPr="00F36B06">
        <w:rPr>
          <w:rFonts w:ascii="Times New Roman" w:hAnsi="Times New Roman" w:cs="Times New Roman"/>
        </w:rPr>
        <w:t>Atbilstoši Maksātnespējas likuma 96. panta pirmajai daļai administratoram ir pienākums izvērtēt parādnieka darījumus un celt tiesā prasību par attiecīgā darījuma atzīšanu par spēkā neesošu neatkarīgi no šā darījuma veida, ja tas noslēgts: 1) pēc juridiskās personas maksātnespējas procesa pasludināšanas dienas vai četrus mēnešus pirms juridiskās personas maksātnespējas procesa pasludināšanas dienas un tādējādi parādniekam ir nodarīti zaudējumi neatkarīgi no tā, vai persona, ar kuru vai kurai par labu darījums noslēgts, ir vai nav zinājusi par zaudējumu nodarīšanu kreditoriem; 2) triju gadu laikā pirms juridiskās personas maksātnespējas procesa pasludināšanas dienas un tādējādi parādniekam ir nodarīti zaudējumi, turklāt persona, ar kuru vai kurai par labu noslēgts darījums, zināja vai tai bija jāzina par šādu zaudējumu nodarīšanu.</w:t>
      </w:r>
    </w:p>
    <w:p w14:paraId="15E3AA48" w14:textId="1833377B" w:rsidR="00FE34B7" w:rsidRPr="00F36B06" w:rsidRDefault="005F31E9"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Būtiski</w:t>
      </w:r>
      <w:r w:rsidR="00FE34B7" w:rsidRPr="00F36B06">
        <w:rPr>
          <w:rFonts w:ascii="Times New Roman" w:hAnsi="Times New Roman" w:cs="Times New Roman"/>
        </w:rPr>
        <w:t xml:space="preserve"> atzīmēt, ja darījums, ar kuru nodarīti zaudējumi parādniekam, ir noslēgts ar ieinteresētajām personām attiecībā pret parādnieku vai šo personu labā, uzskatāms, ka šīs personas ir zinājušas par zaudējumu nodarīšanu, ja tās nepierāda pretējo.</w:t>
      </w:r>
      <w:r w:rsidR="006C0882" w:rsidRPr="00F36B06">
        <w:rPr>
          <w:rStyle w:val="FootnoteReference"/>
          <w:rFonts w:ascii="Times New Roman" w:hAnsi="Times New Roman" w:cs="Times New Roman"/>
        </w:rPr>
        <w:footnoteReference w:id="48"/>
      </w:r>
      <w:r w:rsidR="00FE34B7" w:rsidRPr="00F36B06">
        <w:rPr>
          <w:rFonts w:ascii="Times New Roman" w:hAnsi="Times New Roman" w:cs="Times New Roman"/>
        </w:rPr>
        <w:t xml:space="preserve"> </w:t>
      </w:r>
    </w:p>
    <w:p w14:paraId="47E2D74F" w14:textId="2C6F37C4" w:rsidR="003D25A4" w:rsidRPr="00F36B06" w:rsidRDefault="003D25A4"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Maksātnespējas likumā nav iekļauts skaidrojums, kādus darījumus var apstrīdēt. Vienlaikus Apvienoto Nāciju Organizācijas Starptautisko tirdzniecības tiesību komitejas (UNCITRAL) izdotajās vadlīnijās par maksātnespējas tiesībām tiek izdalīti trīs tipiskākie darījumu veidi, kas tiek apstrīdēti maksātnespējas procesa ietvaros: 1)</w:t>
      </w:r>
      <w:r w:rsidR="004E491D" w:rsidRPr="00F36B06">
        <w:rPr>
          <w:rFonts w:ascii="Times New Roman" w:hAnsi="Times New Roman" w:cs="Times New Roman"/>
        </w:rPr>
        <w:t> </w:t>
      </w:r>
      <w:r w:rsidRPr="00F36B06">
        <w:rPr>
          <w:rFonts w:ascii="Times New Roman" w:hAnsi="Times New Roman" w:cs="Times New Roman"/>
        </w:rPr>
        <w:t>darījumi, kas liedz, traucē vai aizkavē kreditorus saņemt sava prasījuma apmierinājumu; 2)</w:t>
      </w:r>
      <w:r w:rsidR="004E491D" w:rsidRPr="00F36B06">
        <w:rPr>
          <w:rFonts w:ascii="Times New Roman" w:hAnsi="Times New Roman" w:cs="Times New Roman"/>
        </w:rPr>
        <w:t> </w:t>
      </w:r>
      <w:r w:rsidRPr="00F36B06">
        <w:rPr>
          <w:rFonts w:ascii="Times New Roman" w:hAnsi="Times New Roman" w:cs="Times New Roman"/>
        </w:rPr>
        <w:t>neatbilstošas atlīdzības darījumi; 3)</w:t>
      </w:r>
      <w:r w:rsidR="004E491D" w:rsidRPr="00F36B06">
        <w:rPr>
          <w:rFonts w:ascii="Times New Roman" w:hAnsi="Times New Roman" w:cs="Times New Roman"/>
        </w:rPr>
        <w:t> </w:t>
      </w:r>
      <w:r w:rsidRPr="00F36B06">
        <w:rPr>
          <w:rFonts w:ascii="Times New Roman" w:hAnsi="Times New Roman" w:cs="Times New Roman"/>
        </w:rPr>
        <w:t>preferenciāli darījumi ar konkrētiem kreditoriem</w:t>
      </w:r>
      <w:r w:rsidR="0018467F" w:rsidRPr="00F36B06">
        <w:rPr>
          <w:rFonts w:ascii="Times New Roman" w:hAnsi="Times New Roman" w:cs="Times New Roman"/>
        </w:rPr>
        <w:t>.</w:t>
      </w:r>
    </w:p>
    <w:p w14:paraId="2DC1726C" w14:textId="77777777" w:rsidR="00462F30" w:rsidRPr="00F36B06" w:rsidRDefault="000D4569"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Savukārt </w:t>
      </w:r>
      <w:r w:rsidR="006B1BCF" w:rsidRPr="00F36B06">
        <w:rPr>
          <w:rFonts w:ascii="Times New Roman" w:hAnsi="Times New Roman" w:cs="Times New Roman"/>
        </w:rPr>
        <w:t xml:space="preserve">Latvijas Republikas Augstākā tiesa apkopojumā "Tiesu prakse lietās par darījumu apstrīdēšanu un zaudējumu piedziņu no parādnieka pārstāvjiem maksātnespējas procesu ietvaros" (2013/2014) norāda, ka priekšroka būtu dodama tādai "apstrīdama darījuma" jēdziena interpretācijai, kas ietver ne tikai atsevišķu darījumu (līgumu) un tā izpildi, bet parādnieka un trešo personu darbību kopumu, kas ir virzīts uz zaudējumu nodarīšanu parādniekam un kreditoru kopumam. </w:t>
      </w:r>
    </w:p>
    <w:p w14:paraId="0F47D2EC" w14:textId="0A244D98" w:rsidR="006B1BCF" w:rsidRPr="00F36B06" w:rsidRDefault="006B1BCF"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Darījumu apstrīdēšanas institūts </w:t>
      </w:r>
      <w:proofErr w:type="spellStart"/>
      <w:r w:rsidRPr="00F36B06">
        <w:rPr>
          <w:rFonts w:ascii="Times New Roman" w:hAnsi="Times New Roman" w:cs="Times New Roman"/>
        </w:rPr>
        <w:t>prezumē</w:t>
      </w:r>
      <w:proofErr w:type="spellEnd"/>
      <w:r w:rsidRPr="00F36B06">
        <w:rPr>
          <w:rFonts w:ascii="Times New Roman" w:hAnsi="Times New Roman" w:cs="Times New Roman"/>
        </w:rPr>
        <w:t>, ka parādnieks var būt veicis apzinātas darbības, lai nodarītu zaudējumus kreditoriem. Lai sasniegtu savus prettiesiskos mērķus, parādnieks var veikt dažādas savstarpēji saistītas darbības, t. sk. slēgt darījumus izskata pēc, sagrozīt grāmatvedības datus, veikt maksājumus saistītajām personām uz fiktīvu līgumu pamata u. tml. Turklāt šīs darbības ir virzītas uz to, lai, no vienas puses, sasniegtu prettiesisko mērķi, no otras, lai šīs darbības ārēji izskatītos tiesiskas. Tādējādi šaura atsevišķu darījumu apskatīšana atrauti no citām parādnieka darbībām un norobežošanās no parādnieka motīvu noskaidrošanas var novest pie tā, ka darījuma apstrīdēšanas normu mērķis netiek sasniegts.</w:t>
      </w:r>
    </w:p>
    <w:p w14:paraId="51735AFC" w14:textId="43092FD8" w:rsidR="006B1BCF" w:rsidRPr="00F36B06" w:rsidRDefault="006B1BCF"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Attiecīgi no Maksātnespējas likuma 96.</w:t>
      </w:r>
      <w:r w:rsidR="005D3CE4" w:rsidRPr="00F36B06">
        <w:rPr>
          <w:rFonts w:ascii="Times New Roman" w:hAnsi="Times New Roman" w:cs="Times New Roman"/>
        </w:rPr>
        <w:t> </w:t>
      </w:r>
      <w:r w:rsidRPr="00F36B06">
        <w:rPr>
          <w:rFonts w:ascii="Times New Roman" w:hAnsi="Times New Roman" w:cs="Times New Roman"/>
        </w:rPr>
        <w:t>panta izriet vairākas pazīmes, kuras jākonstatē administratoram, lai celtu tiesā prasību par darījuma atzīšanu par spēkā neesošu. Jāsaprot, ka darījums, kas citādos apstākļos būtu tiesisks un ner</w:t>
      </w:r>
      <w:r w:rsidR="00EE4C69" w:rsidRPr="00F36B06">
        <w:rPr>
          <w:rFonts w:ascii="Times New Roman" w:hAnsi="Times New Roman" w:cs="Times New Roman"/>
        </w:rPr>
        <w:t>a</w:t>
      </w:r>
      <w:r w:rsidRPr="00F36B06">
        <w:rPr>
          <w:rFonts w:ascii="Times New Roman" w:hAnsi="Times New Roman" w:cs="Times New Roman"/>
        </w:rPr>
        <w:t xml:space="preserve">dītu šaubas, kļūst apstrīdams tieši tāpēc, ka </w:t>
      </w:r>
      <w:r w:rsidRPr="00F36B06">
        <w:rPr>
          <w:rFonts w:ascii="Times New Roman" w:hAnsi="Times New Roman" w:cs="Times New Roman"/>
        </w:rPr>
        <w:lastRenderedPageBreak/>
        <w:t xml:space="preserve">tika noslēgts neilgi pirms vai pēc maksātnespējas procesa pasludināšanas. Līdz ar to darījumu apstrīdēšanā būtisks ir laika periods, kad darījums tika noslēgts. Atbilstoši Maksātnespējas likumam administratoram ir pienākums izvērtēt parādnieka darījumus, kas noslēgti pat trīs gadus pirms juridiskās personas maksātnespējas procesa pasludināšanas dienas. Tāpat administratoram ir pienākums vērtēt tos darījumus, kas noslēgti </w:t>
      </w:r>
      <w:r w:rsidR="00CD3A24" w:rsidRPr="00F36B06">
        <w:rPr>
          <w:rFonts w:ascii="Times New Roman" w:hAnsi="Times New Roman" w:cs="Times New Roman"/>
        </w:rPr>
        <w:t xml:space="preserve">arī </w:t>
      </w:r>
      <w:r w:rsidRPr="00F36B06">
        <w:rPr>
          <w:rFonts w:ascii="Times New Roman" w:hAnsi="Times New Roman" w:cs="Times New Roman"/>
        </w:rPr>
        <w:t>pēc maksātnespējas procesa pasludināšanas.</w:t>
      </w:r>
      <w:r w:rsidR="00E11876" w:rsidRPr="00F36B06">
        <w:rPr>
          <w:rFonts w:ascii="Times New Roman" w:hAnsi="Times New Roman" w:cs="Times New Roman"/>
        </w:rPr>
        <w:t xml:space="preserve"> </w:t>
      </w:r>
    </w:p>
    <w:p w14:paraId="517658AD" w14:textId="77777777" w:rsidR="006B1BCF" w:rsidRPr="00F36B06" w:rsidRDefault="006B1BCF"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Līdztekus šai pazīmei nepieciešams konstatēt arī objektīvo kritēriju – parādniekam no noslēgtā darījuma ir nodarīti zaudējumi. Zaudējumu nodarīšana parādniekam ir arī potenciāla zaudējumu nodarīšana kreditoriem, jo tādējādi notiek parādnieka mantas samazinājums. Secīgi administratoram jānoskaidro, vai kreditoru iespējas gūt apmierinājumu no parādnieka mantas būtu lielākas, ja attiecīgais darījums nebūtu noslēgts.</w:t>
      </w:r>
    </w:p>
    <w:p w14:paraId="733BFFFD" w14:textId="282DCED5" w:rsidR="006B1BCF" w:rsidRPr="00F36B06" w:rsidRDefault="00246406"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A</w:t>
      </w:r>
      <w:r w:rsidR="006B1BCF" w:rsidRPr="00F36B06">
        <w:rPr>
          <w:rFonts w:ascii="Times New Roman" w:hAnsi="Times New Roman" w:cs="Times New Roman"/>
        </w:rPr>
        <w:t>ttiecīgu pazīmju konstatēšanas gadījumā administratoram jāceļ prasība tiesā ar mērķi nodrošināt kreditoru prasījumu apmierināšanu un novērst tādu parādnieka rīcību, kas kaitē kreditoru kopuma interesēm. Darījumu apstrīdēšanā, tāpat kā citos maksātnespējas tiesību jautājumos, ir nepieciešams ievērot līdzsvaru starp kreditoru kopuma interešu aizsardzību no vienas puses un civiltiesiskās apgrozības drošību un noteiktību no otras puses.</w:t>
      </w:r>
    </w:p>
    <w:p w14:paraId="5C8843BC" w14:textId="69FC59F4" w:rsidR="006B1BCF" w:rsidRDefault="006B1BCF" w:rsidP="009D295A">
      <w:pPr>
        <w:spacing w:after="0" w:line="240" w:lineRule="auto"/>
        <w:ind w:firstLine="720"/>
        <w:jc w:val="both"/>
        <w:rPr>
          <w:rFonts w:ascii="Times New Roman" w:hAnsi="Times New Roman" w:cs="Times New Roman"/>
        </w:rPr>
      </w:pPr>
      <w:r w:rsidRPr="00F36B06">
        <w:rPr>
          <w:rFonts w:ascii="Times New Roman" w:hAnsi="Times New Roman" w:cs="Times New Roman"/>
        </w:rPr>
        <w:t>Maksātnespējas likuma 96.</w:t>
      </w:r>
      <w:r w:rsidR="009A5E16" w:rsidRPr="00F36B06">
        <w:rPr>
          <w:rFonts w:ascii="Times New Roman" w:hAnsi="Times New Roman" w:cs="Times New Roman"/>
        </w:rPr>
        <w:t> </w:t>
      </w:r>
      <w:r w:rsidRPr="00F36B06">
        <w:rPr>
          <w:rFonts w:ascii="Times New Roman" w:hAnsi="Times New Roman" w:cs="Times New Roman"/>
        </w:rPr>
        <w:t>pants ir formulēts pietiekami vispārīgi un tamdēļ saskaņā ar to var apstrīdēt jebkuru no augstāk minētajiem UNCITRAL definētajiem darījumu veidiem, kā arī citus, ja administrators konstatē iepriekš minētās pazīmes. Piemēram, Latvijas Republikas Augstākā tiesa 2019.</w:t>
      </w:r>
      <w:r w:rsidR="009A5E16" w:rsidRPr="00F36B06">
        <w:rPr>
          <w:rFonts w:ascii="Times New Roman" w:hAnsi="Times New Roman" w:cs="Times New Roman"/>
        </w:rPr>
        <w:t> </w:t>
      </w:r>
      <w:r w:rsidRPr="00F36B06">
        <w:rPr>
          <w:rFonts w:ascii="Times New Roman" w:hAnsi="Times New Roman" w:cs="Times New Roman"/>
        </w:rPr>
        <w:t>gada 16.</w:t>
      </w:r>
      <w:r w:rsidR="009A5E16" w:rsidRPr="00F36B06">
        <w:rPr>
          <w:rFonts w:ascii="Times New Roman" w:hAnsi="Times New Roman" w:cs="Times New Roman"/>
        </w:rPr>
        <w:t> </w:t>
      </w:r>
      <w:r w:rsidRPr="00F36B06">
        <w:rPr>
          <w:rFonts w:ascii="Times New Roman" w:hAnsi="Times New Roman" w:cs="Times New Roman"/>
        </w:rPr>
        <w:t xml:space="preserve">decembra spriedumā Nr. SKC-294/2019 norādīja, </w:t>
      </w:r>
      <w:r w:rsidR="00EB782E" w:rsidRPr="00F36B06">
        <w:rPr>
          <w:rFonts w:ascii="Times New Roman" w:hAnsi="Times New Roman" w:cs="Times New Roman"/>
        </w:rPr>
        <w:t xml:space="preserve">ka </w:t>
      </w:r>
      <w:r w:rsidRPr="00F36B06">
        <w:rPr>
          <w:rFonts w:ascii="Times New Roman" w:hAnsi="Times New Roman" w:cs="Times New Roman"/>
        </w:rPr>
        <w:t>slēdzot komercķīlas līgumu un reģistrējot komercķīlu par labu vienam no kreditoriem laikā, kad arī citu kreditoru saistību izpildes termiņi bija jau iestājušies, pretēji vienlīdzības principam radīta priekšrocība vienam kreditoram, tādā veidā kaitējot kreditoru kopuma interesēm, kas samazina katra nenodrošinātā kreditora proporcionālo daļu no maksātnespējas procesā atgūstamajiem līdzekļiem. Līdz ar to šāds darījums var tikt apstrīdēts gan pamatojoties uz Maksātnespējas likuma 96.</w:t>
      </w:r>
      <w:r w:rsidR="00CA166A" w:rsidRPr="00F36B06">
        <w:rPr>
          <w:rFonts w:ascii="Times New Roman" w:hAnsi="Times New Roman" w:cs="Times New Roman"/>
        </w:rPr>
        <w:t> </w:t>
      </w:r>
      <w:r w:rsidRPr="00F36B06">
        <w:rPr>
          <w:rFonts w:ascii="Times New Roman" w:hAnsi="Times New Roman" w:cs="Times New Roman"/>
        </w:rPr>
        <w:t>pantu, kas ir vispārējā darījumu apstrīdēšanas norma, gan arī pamatojoties uz šā likuma 98.</w:t>
      </w:r>
      <w:r w:rsidR="0090212B" w:rsidRPr="00F36B06">
        <w:rPr>
          <w:rFonts w:ascii="Times New Roman" w:hAnsi="Times New Roman" w:cs="Times New Roman"/>
        </w:rPr>
        <w:t> </w:t>
      </w:r>
      <w:r w:rsidRPr="00F36B06">
        <w:rPr>
          <w:rFonts w:ascii="Times New Roman" w:hAnsi="Times New Roman" w:cs="Times New Roman"/>
        </w:rPr>
        <w:t>pantā iekļauto speciālo tiesību normu.</w:t>
      </w:r>
    </w:p>
    <w:p w14:paraId="4CD7C50A" w14:textId="2973B23A" w:rsidR="00604B40" w:rsidRPr="00F36B06" w:rsidRDefault="00604B40" w:rsidP="009D295A">
      <w:pPr>
        <w:spacing w:after="0" w:line="240" w:lineRule="auto"/>
        <w:ind w:firstLine="720"/>
        <w:jc w:val="both"/>
        <w:rPr>
          <w:rFonts w:ascii="Times New Roman" w:hAnsi="Times New Roman" w:cs="Times New Roman"/>
        </w:rPr>
      </w:pPr>
      <w:r w:rsidRPr="00604B40">
        <w:rPr>
          <w:rFonts w:ascii="Times New Roman" w:hAnsi="Times New Roman" w:cs="Times New Roman"/>
        </w:rPr>
        <w:t>Tiesu prakse un UNCITRAL vadlīnijas uzsver, ka darījumu apstrīdēšanā jāvērtē ne tikai atsevišķi darījumi, bet arī to kopums, kas var liecināt par koordinētām darbībām ar mērķi izslēgt kreditorus no mantas sadales. Šaura pieeja var novest pie darījumu apstrīdēšanas normu mērķa nesasniegšanas.</w:t>
      </w:r>
    </w:p>
    <w:p w14:paraId="729B7C87" w14:textId="0479079F" w:rsidR="006B1BCF" w:rsidRPr="00F36B06" w:rsidRDefault="006B1BCF" w:rsidP="00F571D1">
      <w:pPr>
        <w:tabs>
          <w:tab w:val="left" w:pos="2268"/>
        </w:tabs>
        <w:spacing w:after="0" w:line="240" w:lineRule="auto"/>
        <w:ind w:firstLine="720"/>
        <w:jc w:val="both"/>
        <w:rPr>
          <w:rFonts w:ascii="Times New Roman" w:hAnsi="Times New Roman" w:cs="Times New Roman"/>
        </w:rPr>
      </w:pPr>
      <w:r w:rsidRPr="00F36B06">
        <w:rPr>
          <w:rFonts w:ascii="Times New Roman" w:hAnsi="Times New Roman" w:cs="Times New Roman"/>
        </w:rPr>
        <w:t>Maksātnespējas likuma 97.–99.</w:t>
      </w:r>
      <w:r w:rsidR="009A5E16" w:rsidRPr="00F36B06">
        <w:rPr>
          <w:rFonts w:ascii="Times New Roman" w:hAnsi="Times New Roman" w:cs="Times New Roman"/>
        </w:rPr>
        <w:t> </w:t>
      </w:r>
      <w:r w:rsidRPr="00F36B06">
        <w:rPr>
          <w:rFonts w:ascii="Times New Roman" w:hAnsi="Times New Roman" w:cs="Times New Roman"/>
        </w:rPr>
        <w:t>pantā ir izcelti konkrēti apstrīdamo darījumu veidi – bezatlīdzības darījumi, ķīlas līgumi un parādu segšanai samaksāto summu atdošana. Šo darījumu apstrīdēšanai likumdevējs ir paredzējis atšķirīgus nosacījumus.</w:t>
      </w:r>
      <w:r w:rsidRPr="00F36B06">
        <w:rPr>
          <w:rFonts w:ascii="Times New Roman" w:hAnsi="Times New Roman" w:cs="Times New Roman"/>
          <w:vertAlign w:val="superscript"/>
        </w:rPr>
        <w:footnoteReference w:id="49"/>
      </w:r>
    </w:p>
    <w:p w14:paraId="52D23DB3" w14:textId="29A73E70" w:rsidR="0049160A" w:rsidRPr="00F36B06" w:rsidRDefault="0049160A" w:rsidP="00F571D1">
      <w:pPr>
        <w:tabs>
          <w:tab w:val="left" w:pos="2268"/>
        </w:tabs>
        <w:spacing w:after="0" w:line="240" w:lineRule="auto"/>
        <w:ind w:firstLine="720"/>
        <w:jc w:val="both"/>
        <w:rPr>
          <w:rFonts w:ascii="Times New Roman" w:hAnsi="Times New Roman" w:cs="Times New Roman"/>
        </w:rPr>
      </w:pPr>
      <w:r w:rsidRPr="00F36B06">
        <w:rPr>
          <w:rFonts w:ascii="Times New Roman" w:hAnsi="Times New Roman" w:cs="Times New Roman"/>
        </w:rPr>
        <w:t xml:space="preserve">Pētījuma ietvaros konstatēts, ka tika celtas </w:t>
      </w:r>
      <w:r w:rsidR="00A91F41" w:rsidRPr="00F36B06">
        <w:rPr>
          <w:rFonts w:ascii="Times New Roman" w:hAnsi="Times New Roman" w:cs="Times New Roman"/>
        </w:rPr>
        <w:t>11</w:t>
      </w:r>
      <w:r w:rsidRPr="00F36B06">
        <w:rPr>
          <w:rFonts w:ascii="Times New Roman" w:hAnsi="Times New Roman" w:cs="Times New Roman"/>
        </w:rPr>
        <w:t xml:space="preserve"> prasības </w:t>
      </w:r>
      <w:r w:rsidR="00A91F41" w:rsidRPr="00F36B06">
        <w:rPr>
          <w:rFonts w:ascii="Times New Roman" w:hAnsi="Times New Roman" w:cs="Times New Roman"/>
        </w:rPr>
        <w:t>par darījumu apstrīdēšanu</w:t>
      </w:r>
      <w:r w:rsidRPr="00F36B06">
        <w:rPr>
          <w:rFonts w:ascii="Times New Roman" w:hAnsi="Times New Roman" w:cs="Times New Roman"/>
        </w:rPr>
        <w:t>.</w:t>
      </w:r>
    </w:p>
    <w:p w14:paraId="7BB05157" w14:textId="2809AF0F" w:rsidR="00F672DD" w:rsidRDefault="00F672DD" w:rsidP="00F571D1">
      <w:pPr>
        <w:spacing w:after="0" w:line="240" w:lineRule="auto"/>
        <w:ind w:firstLine="720"/>
        <w:jc w:val="both"/>
        <w:rPr>
          <w:rFonts w:ascii="Times New Roman" w:eastAsia="Times New Roman" w:hAnsi="Times New Roman" w:cs="Times New Roman"/>
          <w:color w:val="000000"/>
          <w:kern w:val="0"/>
          <w:lang w:eastAsia="lv-LV"/>
          <w14:ligatures w14:val="none"/>
        </w:rPr>
      </w:pPr>
      <w:r w:rsidRPr="00F36B06">
        <w:rPr>
          <w:rFonts w:ascii="Times New Roman" w:hAnsi="Times New Roman" w:cs="Times New Roman"/>
        </w:rPr>
        <w:t xml:space="preserve">Kopumā maksātnespējas procesos, kuros </w:t>
      </w:r>
      <w:r w:rsidR="00E86F99">
        <w:rPr>
          <w:rFonts w:ascii="Times New Roman" w:hAnsi="Times New Roman" w:cs="Times New Roman"/>
        </w:rPr>
        <w:t xml:space="preserve">celtas </w:t>
      </w:r>
      <w:r w:rsidRPr="00F36B06">
        <w:rPr>
          <w:rFonts w:ascii="Times New Roman" w:hAnsi="Times New Roman" w:cs="Times New Roman"/>
        </w:rPr>
        <w:t>prasības</w:t>
      </w:r>
      <w:r w:rsidR="001256A7" w:rsidRPr="00F36B06">
        <w:rPr>
          <w:rFonts w:ascii="Times New Roman" w:hAnsi="Times New Roman" w:cs="Times New Roman"/>
        </w:rPr>
        <w:t xml:space="preserve"> par darījumu apstrīdēšanu</w:t>
      </w:r>
      <w:r w:rsidRPr="00F36B06">
        <w:rPr>
          <w:rFonts w:ascii="Times New Roman" w:hAnsi="Times New Roman" w:cs="Times New Roman"/>
        </w:rPr>
        <w:t xml:space="preserve">, atzīto kreditoru prasījumu apmērs </w:t>
      </w:r>
      <w:r w:rsidR="00C442EE" w:rsidRPr="00F36B06">
        <w:rPr>
          <w:rFonts w:ascii="Times New Roman" w:hAnsi="Times New Roman" w:cs="Times New Roman"/>
        </w:rPr>
        <w:t>ir</w:t>
      </w:r>
      <w:r w:rsidR="00FE516B" w:rsidRPr="00F36B06">
        <w:rPr>
          <w:rFonts w:ascii="Times New Roman" w:eastAsia="Times New Roman" w:hAnsi="Times New Roman" w:cs="Times New Roman"/>
          <w:color w:val="000000"/>
          <w:kern w:val="0"/>
          <w:lang w:eastAsia="lv-LV"/>
          <w14:ligatures w14:val="none"/>
        </w:rPr>
        <w:t xml:space="preserve"> </w:t>
      </w:r>
      <w:r w:rsidR="00C04A20" w:rsidRPr="00F36B06">
        <w:rPr>
          <w:rFonts w:ascii="Times New Roman" w:eastAsia="Times New Roman" w:hAnsi="Times New Roman" w:cs="Times New Roman"/>
          <w:color w:val="000000"/>
          <w:kern w:val="0"/>
          <w:lang w:eastAsia="lv-LV"/>
          <w14:ligatures w14:val="none"/>
        </w:rPr>
        <w:t>18</w:t>
      </w:r>
      <w:r w:rsidR="008A344F" w:rsidRPr="00F36B06">
        <w:rPr>
          <w:rFonts w:ascii="Times New Roman" w:eastAsia="Times New Roman" w:hAnsi="Times New Roman" w:cs="Times New Roman"/>
          <w:color w:val="000000"/>
          <w:kern w:val="0"/>
          <w:lang w:eastAsia="lv-LV"/>
          <w14:ligatures w14:val="none"/>
        </w:rPr>
        <w:t> </w:t>
      </w:r>
      <w:r w:rsidR="00C04A20" w:rsidRPr="00F36B06">
        <w:rPr>
          <w:rFonts w:ascii="Times New Roman" w:eastAsia="Times New Roman" w:hAnsi="Times New Roman" w:cs="Times New Roman"/>
          <w:color w:val="000000"/>
          <w:kern w:val="0"/>
          <w:lang w:eastAsia="lv-LV"/>
          <w14:ligatures w14:val="none"/>
        </w:rPr>
        <w:t>445</w:t>
      </w:r>
      <w:r w:rsidR="008A344F" w:rsidRPr="00F36B06">
        <w:rPr>
          <w:rFonts w:ascii="Times New Roman" w:eastAsia="Times New Roman" w:hAnsi="Times New Roman" w:cs="Times New Roman"/>
          <w:color w:val="000000"/>
          <w:kern w:val="0"/>
          <w:lang w:eastAsia="lv-LV"/>
          <w14:ligatures w14:val="none"/>
        </w:rPr>
        <w:t> </w:t>
      </w:r>
      <w:r w:rsidR="00C04A20" w:rsidRPr="00F36B06">
        <w:rPr>
          <w:rFonts w:ascii="Times New Roman" w:eastAsia="Times New Roman" w:hAnsi="Times New Roman" w:cs="Times New Roman"/>
          <w:color w:val="000000"/>
          <w:kern w:val="0"/>
          <w:lang w:eastAsia="lv-LV"/>
          <w14:ligatures w14:val="none"/>
        </w:rPr>
        <w:t>060</w:t>
      </w:r>
      <w:r w:rsidR="00D560AD"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color w:val="000000"/>
          <w:kern w:val="0"/>
          <w:lang w:eastAsia="lv-LV"/>
          <w14:ligatures w14:val="none"/>
        </w:rPr>
        <w:t xml:space="preserve">, bet kopējais apmierināto prasījumu apmērs šajos procesos </w:t>
      </w:r>
      <w:r w:rsidR="00C442EE" w:rsidRPr="00F36B06">
        <w:rPr>
          <w:rFonts w:ascii="Times New Roman" w:eastAsia="Times New Roman" w:hAnsi="Times New Roman" w:cs="Times New Roman"/>
          <w:color w:val="000000"/>
          <w:kern w:val="0"/>
          <w:lang w:eastAsia="lv-LV"/>
          <w14:ligatures w14:val="none"/>
        </w:rPr>
        <w:t xml:space="preserve">ir </w:t>
      </w:r>
      <w:r w:rsidR="008A344F" w:rsidRPr="00F36B06">
        <w:rPr>
          <w:rFonts w:ascii="Times New Roman" w:eastAsia="Times New Roman" w:hAnsi="Times New Roman" w:cs="Times New Roman"/>
          <w:color w:val="000000"/>
          <w:kern w:val="0"/>
          <w:lang w:eastAsia="lv-LV"/>
          <w14:ligatures w14:val="none"/>
        </w:rPr>
        <w:t>5 011 22</w:t>
      </w:r>
      <w:r w:rsidR="00075B97">
        <w:rPr>
          <w:rFonts w:ascii="Times New Roman" w:eastAsia="Times New Roman" w:hAnsi="Times New Roman" w:cs="Times New Roman"/>
          <w:color w:val="000000"/>
          <w:kern w:val="0"/>
          <w:lang w:eastAsia="lv-LV"/>
          <w14:ligatures w14:val="none"/>
        </w:rPr>
        <w:t>1</w:t>
      </w:r>
      <w:r w:rsidR="00335563"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i/>
          <w:iCs/>
          <w:color w:val="000000"/>
          <w:kern w:val="0"/>
          <w:lang w:eastAsia="lv-LV"/>
          <w14:ligatures w14:val="none"/>
        </w:rPr>
        <w:t xml:space="preserve">. </w:t>
      </w:r>
      <w:r w:rsidRPr="00F36B06">
        <w:rPr>
          <w:rFonts w:ascii="Times New Roman" w:eastAsia="Times New Roman" w:hAnsi="Times New Roman" w:cs="Times New Roman"/>
          <w:color w:val="000000"/>
          <w:kern w:val="0"/>
          <w:lang w:eastAsia="lv-LV"/>
          <w14:ligatures w14:val="none"/>
        </w:rPr>
        <w:t xml:space="preserve">Līdz ar to kopumā šajos procesos kreditori ir zaudējuši </w:t>
      </w:r>
      <w:r w:rsidR="00553CE9" w:rsidRPr="00F36B06">
        <w:rPr>
          <w:rFonts w:ascii="Times New Roman" w:eastAsia="Times New Roman" w:hAnsi="Times New Roman" w:cs="Times New Roman"/>
          <w:color w:val="000000"/>
          <w:kern w:val="0"/>
          <w:lang w:eastAsia="lv-LV"/>
          <w14:ligatures w14:val="none"/>
        </w:rPr>
        <w:t>13</w:t>
      </w:r>
      <w:r w:rsidR="00075B97">
        <w:rPr>
          <w:rFonts w:ascii="Times New Roman" w:eastAsia="Times New Roman" w:hAnsi="Times New Roman" w:cs="Times New Roman"/>
          <w:color w:val="000000"/>
          <w:kern w:val="0"/>
          <w:lang w:eastAsia="lv-LV"/>
          <w14:ligatures w14:val="none"/>
        </w:rPr>
        <w:t> </w:t>
      </w:r>
      <w:r w:rsidR="00553CE9" w:rsidRPr="00F36B06">
        <w:rPr>
          <w:rFonts w:ascii="Times New Roman" w:eastAsia="Times New Roman" w:hAnsi="Times New Roman" w:cs="Times New Roman"/>
          <w:color w:val="000000"/>
          <w:kern w:val="0"/>
          <w:lang w:eastAsia="lv-LV"/>
          <w14:ligatures w14:val="none"/>
        </w:rPr>
        <w:t>433</w:t>
      </w:r>
      <w:r w:rsidR="00075B97">
        <w:rPr>
          <w:rFonts w:ascii="Times New Roman" w:eastAsia="Times New Roman" w:hAnsi="Times New Roman" w:cs="Times New Roman"/>
          <w:color w:val="000000"/>
          <w:kern w:val="0"/>
          <w:lang w:eastAsia="lv-LV"/>
          <w14:ligatures w14:val="none"/>
        </w:rPr>
        <w:t> </w:t>
      </w:r>
      <w:r w:rsidR="00553CE9" w:rsidRPr="00F36B06">
        <w:rPr>
          <w:rFonts w:ascii="Times New Roman" w:eastAsia="Times New Roman" w:hAnsi="Times New Roman" w:cs="Times New Roman"/>
          <w:color w:val="000000"/>
          <w:kern w:val="0"/>
          <w:lang w:eastAsia="lv-LV"/>
          <w14:ligatures w14:val="none"/>
        </w:rPr>
        <w:t>839</w:t>
      </w:r>
      <w:r w:rsidR="00D667BB"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i/>
          <w:iCs/>
          <w:color w:val="000000"/>
          <w:kern w:val="0"/>
          <w:lang w:eastAsia="lv-LV"/>
          <w14:ligatures w14:val="none"/>
        </w:rPr>
        <w:t xml:space="preserve">. </w:t>
      </w:r>
      <w:r w:rsidRPr="00F36B06">
        <w:rPr>
          <w:rFonts w:ascii="Times New Roman" w:eastAsia="Times New Roman" w:hAnsi="Times New Roman" w:cs="Times New Roman"/>
          <w:color w:val="000000"/>
          <w:kern w:val="0"/>
          <w:lang w:eastAsia="lv-LV"/>
          <w14:ligatures w14:val="none"/>
        </w:rPr>
        <w:t xml:space="preserve">Savukārt starpība starp tiesas </w:t>
      </w:r>
      <w:r w:rsidR="00E76DDF" w:rsidRPr="00F36B06">
        <w:rPr>
          <w:rFonts w:ascii="Times New Roman" w:eastAsia="Times New Roman" w:hAnsi="Times New Roman" w:cs="Times New Roman"/>
          <w:color w:val="000000"/>
          <w:kern w:val="0"/>
          <w:lang w:eastAsia="lv-LV"/>
          <w14:ligatures w14:val="none"/>
        </w:rPr>
        <w:t>piespriesto</w:t>
      </w:r>
      <w:r w:rsidRPr="00F36B06">
        <w:rPr>
          <w:rFonts w:ascii="Times New Roman" w:eastAsia="Times New Roman" w:hAnsi="Times New Roman" w:cs="Times New Roman"/>
          <w:color w:val="000000"/>
          <w:kern w:val="0"/>
          <w:lang w:eastAsia="lv-LV"/>
          <w14:ligatures w14:val="none"/>
        </w:rPr>
        <w:t xml:space="preserve"> (</w:t>
      </w:r>
      <w:r w:rsidR="00C07416" w:rsidRPr="00F36B06">
        <w:rPr>
          <w:rFonts w:ascii="Times New Roman" w:eastAsia="Times New Roman" w:hAnsi="Times New Roman" w:cs="Times New Roman"/>
          <w:color w:val="000000"/>
          <w:kern w:val="0"/>
          <w:lang w:eastAsia="lv-LV"/>
          <w14:ligatures w14:val="none"/>
        </w:rPr>
        <w:t>891</w:t>
      </w:r>
      <w:r w:rsidR="00075B97">
        <w:rPr>
          <w:rFonts w:ascii="Times New Roman" w:eastAsia="Times New Roman" w:hAnsi="Times New Roman" w:cs="Times New Roman"/>
          <w:color w:val="000000"/>
          <w:kern w:val="0"/>
          <w:lang w:eastAsia="lv-LV"/>
          <w14:ligatures w14:val="none"/>
        </w:rPr>
        <w:t> </w:t>
      </w:r>
      <w:r w:rsidR="00C07416" w:rsidRPr="00F36B06">
        <w:rPr>
          <w:rFonts w:ascii="Times New Roman" w:eastAsia="Times New Roman" w:hAnsi="Times New Roman" w:cs="Times New Roman"/>
          <w:color w:val="000000"/>
          <w:kern w:val="0"/>
          <w:lang w:eastAsia="lv-LV"/>
          <w14:ligatures w14:val="none"/>
        </w:rPr>
        <w:t>671</w:t>
      </w:r>
      <w:r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color w:val="000000"/>
          <w:kern w:val="0"/>
          <w:lang w:eastAsia="lv-LV"/>
          <w14:ligatures w14:val="none"/>
        </w:rPr>
        <w:t>) un faktiski atgūto summu (</w:t>
      </w:r>
      <w:r w:rsidR="00F56FCB" w:rsidRPr="00F36B06">
        <w:rPr>
          <w:rFonts w:ascii="Times New Roman" w:eastAsia="Times New Roman" w:hAnsi="Times New Roman" w:cs="Times New Roman"/>
          <w:color w:val="000000"/>
          <w:kern w:val="0"/>
          <w:lang w:eastAsia="lv-LV"/>
          <w14:ligatures w14:val="none"/>
        </w:rPr>
        <w:t>205 186,67</w:t>
      </w:r>
      <w:r w:rsidR="000F00D9"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Pr="00F36B06">
        <w:rPr>
          <w:rFonts w:ascii="Times New Roman" w:eastAsia="Times New Roman" w:hAnsi="Times New Roman" w:cs="Times New Roman"/>
          <w:color w:val="000000"/>
          <w:kern w:val="0"/>
          <w:lang w:eastAsia="lv-LV"/>
          <w14:ligatures w14:val="none"/>
        </w:rPr>
        <w:t xml:space="preserve">) </w:t>
      </w:r>
      <w:r w:rsidR="00C442EE" w:rsidRPr="00F36B06">
        <w:rPr>
          <w:rFonts w:ascii="Times New Roman" w:eastAsia="Times New Roman" w:hAnsi="Times New Roman" w:cs="Times New Roman"/>
          <w:color w:val="000000"/>
          <w:kern w:val="0"/>
          <w:lang w:eastAsia="lv-LV"/>
          <w14:ligatures w14:val="none"/>
        </w:rPr>
        <w:t xml:space="preserve">ir </w:t>
      </w:r>
      <w:r w:rsidR="00A60389" w:rsidRPr="00F36B06">
        <w:rPr>
          <w:rFonts w:ascii="Times New Roman" w:eastAsia="Times New Roman" w:hAnsi="Times New Roman" w:cs="Times New Roman"/>
          <w:color w:val="000000"/>
          <w:kern w:val="0"/>
          <w:lang w:eastAsia="lv-LV"/>
          <w14:ligatures w14:val="none"/>
        </w:rPr>
        <w:t>686 48</w:t>
      </w:r>
      <w:r w:rsidR="00FF110D">
        <w:rPr>
          <w:rFonts w:ascii="Times New Roman" w:eastAsia="Times New Roman" w:hAnsi="Times New Roman" w:cs="Times New Roman"/>
          <w:color w:val="000000"/>
          <w:kern w:val="0"/>
          <w:lang w:eastAsia="lv-LV"/>
          <w14:ligatures w14:val="none"/>
        </w:rPr>
        <w:t>5</w:t>
      </w:r>
      <w:r w:rsidR="00720588" w:rsidRPr="00F36B06">
        <w:rPr>
          <w:rFonts w:ascii="Times New Roman" w:eastAsia="Times New Roman" w:hAnsi="Times New Roman" w:cs="Times New Roman"/>
          <w:color w:val="000000"/>
          <w:kern w:val="0"/>
          <w:lang w:eastAsia="lv-LV"/>
          <w14:ligatures w14:val="none"/>
        </w:rPr>
        <w:t> </w:t>
      </w:r>
      <w:proofErr w:type="spellStart"/>
      <w:r w:rsidRPr="00F36B06">
        <w:rPr>
          <w:rFonts w:ascii="Times New Roman" w:eastAsia="Times New Roman" w:hAnsi="Times New Roman" w:cs="Times New Roman"/>
          <w:i/>
          <w:iCs/>
          <w:color w:val="000000"/>
          <w:kern w:val="0"/>
          <w:lang w:eastAsia="lv-LV"/>
          <w14:ligatures w14:val="none"/>
        </w:rPr>
        <w:t>euro</w:t>
      </w:r>
      <w:proofErr w:type="spellEnd"/>
      <w:r w:rsidR="00545D3F" w:rsidRPr="00F36B06">
        <w:rPr>
          <w:rFonts w:ascii="Times New Roman" w:eastAsia="Times New Roman" w:hAnsi="Times New Roman" w:cs="Times New Roman"/>
          <w:color w:val="000000"/>
          <w:kern w:val="0"/>
          <w:lang w:eastAsia="lv-LV"/>
          <w14:ligatures w14:val="none"/>
        </w:rPr>
        <w:t>, kas nozīmē, ka nodarītais kaitējums novērst</w:t>
      </w:r>
      <w:r w:rsidR="006562A8" w:rsidRPr="00F36B06">
        <w:rPr>
          <w:rFonts w:ascii="Times New Roman" w:eastAsia="Times New Roman" w:hAnsi="Times New Roman" w:cs="Times New Roman"/>
          <w:color w:val="000000"/>
          <w:kern w:val="0"/>
          <w:lang w:eastAsia="lv-LV"/>
          <w14:ligatures w14:val="none"/>
        </w:rPr>
        <w:t>s</w:t>
      </w:r>
      <w:r w:rsidR="00545D3F" w:rsidRPr="00F36B06">
        <w:rPr>
          <w:rFonts w:ascii="Times New Roman" w:eastAsia="Times New Roman" w:hAnsi="Times New Roman" w:cs="Times New Roman"/>
          <w:color w:val="000000"/>
          <w:kern w:val="0"/>
          <w:lang w:eastAsia="lv-LV"/>
          <w14:ligatures w14:val="none"/>
        </w:rPr>
        <w:t xml:space="preserve"> par</w:t>
      </w:r>
      <w:r w:rsidR="00677115" w:rsidRPr="00F36B06">
        <w:rPr>
          <w:rFonts w:ascii="Times New Roman" w:eastAsia="Times New Roman" w:hAnsi="Times New Roman" w:cs="Times New Roman"/>
          <w:color w:val="000000"/>
          <w:kern w:val="0"/>
          <w:lang w:eastAsia="lv-LV"/>
          <w14:ligatures w14:val="none"/>
        </w:rPr>
        <w:t xml:space="preserve"> </w:t>
      </w:r>
      <w:r w:rsidR="00DB0224" w:rsidRPr="00F36B06">
        <w:rPr>
          <w:rFonts w:ascii="Times New Roman" w:eastAsia="Times New Roman" w:hAnsi="Times New Roman" w:cs="Times New Roman"/>
          <w:color w:val="000000"/>
          <w:kern w:val="0"/>
          <w:lang w:eastAsia="lv-LV"/>
          <w14:ligatures w14:val="none"/>
        </w:rPr>
        <w:t>23</w:t>
      </w:r>
      <w:r w:rsidR="00B26FD4" w:rsidRPr="00F36B06">
        <w:rPr>
          <w:rFonts w:ascii="Times New Roman" w:eastAsia="Times New Roman" w:hAnsi="Times New Roman" w:cs="Times New Roman"/>
          <w:color w:val="000000"/>
          <w:kern w:val="0"/>
          <w:lang w:eastAsia="lv-LV"/>
          <w14:ligatures w14:val="none"/>
        </w:rPr>
        <w:t> </w:t>
      </w:r>
      <w:r w:rsidR="00677115" w:rsidRPr="00F36B06">
        <w:rPr>
          <w:rFonts w:ascii="Times New Roman" w:eastAsia="Times New Roman" w:hAnsi="Times New Roman" w:cs="Times New Roman"/>
          <w:color w:val="000000"/>
          <w:kern w:val="0"/>
          <w:lang w:eastAsia="lv-LV"/>
          <w14:ligatures w14:val="none"/>
        </w:rPr>
        <w:t>%</w:t>
      </w:r>
      <w:r w:rsidR="00241F57" w:rsidRPr="00F36B06">
        <w:rPr>
          <w:rFonts w:ascii="Times New Roman" w:eastAsia="Times New Roman" w:hAnsi="Times New Roman" w:cs="Times New Roman"/>
          <w:color w:val="000000"/>
          <w:kern w:val="0"/>
          <w:lang w:eastAsia="lv-LV"/>
          <w14:ligatures w14:val="none"/>
        </w:rPr>
        <w:t xml:space="preserve"> (</w:t>
      </w:r>
      <w:r w:rsidR="00E226E2" w:rsidRPr="00F36B06">
        <w:rPr>
          <w:rFonts w:ascii="Times New Roman" w:eastAsia="Times New Roman" w:hAnsi="Times New Roman" w:cs="Times New Roman"/>
          <w:color w:val="000000"/>
          <w:kern w:val="0"/>
          <w:lang w:eastAsia="lv-LV"/>
          <w14:ligatures w14:val="none"/>
        </w:rPr>
        <w:t>4. </w:t>
      </w:r>
      <w:r w:rsidR="00E226E2" w:rsidRPr="00F36B06">
        <w:rPr>
          <w:rFonts w:ascii="Times New Roman" w:hAnsi="Times New Roman" w:cs="Times New Roman"/>
        </w:rPr>
        <w:t>tabula)</w:t>
      </w:r>
      <w:r w:rsidRPr="00F36B06">
        <w:rPr>
          <w:rFonts w:ascii="Times New Roman" w:eastAsia="Times New Roman" w:hAnsi="Times New Roman" w:cs="Times New Roman"/>
          <w:color w:val="000000"/>
          <w:kern w:val="0"/>
          <w:lang w:eastAsia="lv-LV"/>
          <w14:ligatures w14:val="none"/>
        </w:rPr>
        <w:t>.</w:t>
      </w:r>
    </w:p>
    <w:p w14:paraId="572851A6" w14:textId="77777777" w:rsidR="00BA1C6F" w:rsidRPr="00F36B06" w:rsidRDefault="00BA1C6F" w:rsidP="00F571D1">
      <w:pPr>
        <w:spacing w:after="0" w:line="240" w:lineRule="auto"/>
        <w:ind w:firstLine="720"/>
        <w:jc w:val="both"/>
        <w:rPr>
          <w:rFonts w:ascii="Times New Roman" w:eastAsia="Times New Roman" w:hAnsi="Times New Roman" w:cs="Times New Roman"/>
          <w:color w:val="000000"/>
          <w:kern w:val="0"/>
          <w:lang w:eastAsia="lv-LV"/>
          <w14:ligatures w14:val="none"/>
        </w:rPr>
      </w:pPr>
    </w:p>
    <w:p w14:paraId="6B5F8A1A" w14:textId="13CA0F4D" w:rsidR="00E226E2" w:rsidRPr="00F36B06" w:rsidRDefault="00E226E2" w:rsidP="00847F0A">
      <w:pPr>
        <w:spacing w:after="0" w:line="240" w:lineRule="auto"/>
        <w:ind w:firstLine="720"/>
        <w:jc w:val="right"/>
        <w:rPr>
          <w:rFonts w:ascii="Times New Roman" w:eastAsia="Times New Roman" w:hAnsi="Times New Roman" w:cs="Times New Roman"/>
          <w:i/>
          <w:iCs/>
          <w:color w:val="000000"/>
          <w:kern w:val="0"/>
          <w:lang w:eastAsia="lv-LV"/>
          <w14:ligatures w14:val="none"/>
        </w:rPr>
      </w:pPr>
      <w:r w:rsidRPr="00F36B06">
        <w:rPr>
          <w:rFonts w:ascii="Times New Roman" w:eastAsia="Times New Roman" w:hAnsi="Times New Roman" w:cs="Times New Roman"/>
          <w:i/>
          <w:iCs/>
          <w:color w:val="000000"/>
          <w:kern w:val="0"/>
          <w:lang w:eastAsia="lv-LV"/>
          <w14:ligatures w14:val="none"/>
        </w:rPr>
        <w:t>4. tabula</w:t>
      </w:r>
    </w:p>
    <w:p w14:paraId="43C306EA" w14:textId="3498BC32" w:rsidR="00847F0A" w:rsidRPr="00F36B06" w:rsidRDefault="00847F0A" w:rsidP="00847F0A">
      <w:pPr>
        <w:spacing w:after="0" w:line="240" w:lineRule="auto"/>
        <w:jc w:val="center"/>
        <w:rPr>
          <w:rFonts w:ascii="Times New Roman" w:eastAsia="Times New Roman" w:hAnsi="Times New Roman" w:cs="Times New Roman"/>
          <w:b/>
          <w:bCs/>
          <w:color w:val="000000"/>
          <w:kern w:val="0"/>
          <w:lang w:eastAsia="lv-LV"/>
          <w14:ligatures w14:val="none"/>
        </w:rPr>
      </w:pPr>
      <w:r w:rsidRPr="00F36B06">
        <w:rPr>
          <w:rFonts w:ascii="Times New Roman" w:eastAsia="Times New Roman" w:hAnsi="Times New Roman" w:cs="Times New Roman"/>
          <w:b/>
          <w:bCs/>
          <w:color w:val="000000"/>
          <w:kern w:val="0"/>
          <w:lang w:eastAsia="lv-LV"/>
          <w14:ligatures w14:val="none"/>
        </w:rPr>
        <w:t xml:space="preserve">Maksātnespējas procesu, kuros celtas un apmierinātas </w:t>
      </w:r>
      <w:r w:rsidR="00560D08" w:rsidRPr="00F36B06">
        <w:rPr>
          <w:rFonts w:ascii="Times New Roman" w:eastAsia="Times New Roman" w:hAnsi="Times New Roman" w:cs="Times New Roman"/>
          <w:b/>
          <w:bCs/>
          <w:color w:val="000000"/>
          <w:kern w:val="0"/>
          <w:lang w:eastAsia="lv-LV"/>
          <w14:ligatures w14:val="none"/>
        </w:rPr>
        <w:t>darījumu apstrīdēšanas prasības</w:t>
      </w:r>
      <w:r w:rsidRPr="00F36B06">
        <w:rPr>
          <w:rFonts w:ascii="Times New Roman" w:eastAsia="Times New Roman" w:hAnsi="Times New Roman" w:cs="Times New Roman"/>
          <w:b/>
          <w:bCs/>
          <w:color w:val="000000"/>
          <w:kern w:val="0"/>
          <w:lang w:eastAsia="lv-LV"/>
          <w14:ligatures w14:val="none"/>
        </w:rPr>
        <w:t>, rezultatīvie rādītāji</w:t>
      </w:r>
    </w:p>
    <w:p w14:paraId="73C71C8B" w14:textId="77777777" w:rsidR="00847F0A" w:rsidRPr="00F36B06" w:rsidRDefault="00847F0A" w:rsidP="00847F0A">
      <w:pPr>
        <w:spacing w:after="0" w:line="240" w:lineRule="auto"/>
        <w:ind w:firstLine="720"/>
        <w:jc w:val="right"/>
        <w:rPr>
          <w:rFonts w:ascii="Times New Roman" w:eastAsia="Times New Roman" w:hAnsi="Times New Roman" w:cs="Times New Roman"/>
          <w:i/>
          <w:iCs/>
          <w:color w:val="000000"/>
          <w:kern w:val="0"/>
          <w:lang w:eastAsia="lv-LV"/>
          <w14:ligatures w14:val="none"/>
        </w:rPr>
      </w:pPr>
    </w:p>
    <w:tbl>
      <w:tblPr>
        <w:tblStyle w:val="TableGrid2"/>
        <w:tblW w:w="0" w:type="auto"/>
        <w:jc w:val="center"/>
        <w:tblInd w:w="0" w:type="dxa"/>
        <w:tblLook w:val="04A0" w:firstRow="1" w:lastRow="0" w:firstColumn="1" w:lastColumn="0" w:noHBand="0" w:noVBand="1"/>
      </w:tblPr>
      <w:tblGrid>
        <w:gridCol w:w="5524"/>
        <w:gridCol w:w="3116"/>
      </w:tblGrid>
      <w:tr w:rsidR="00E226E2" w:rsidRPr="00F36B06" w14:paraId="06372D0A" w14:textId="77777777" w:rsidTr="007E5732">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B3E3FA"/>
            <w:hideMark/>
          </w:tcPr>
          <w:p w14:paraId="4B41EE52" w14:textId="77777777" w:rsidR="00E226E2" w:rsidRPr="00F36B06" w:rsidRDefault="00E226E2" w:rsidP="00972A80">
            <w:pPr>
              <w:jc w:val="center"/>
              <w:rPr>
                <w:rFonts w:ascii="Times New Roman" w:hAnsi="Times New Roman"/>
                <w:b/>
                <w:bCs/>
                <w:sz w:val="24"/>
                <w:szCs w:val="24"/>
                <w:lang w:val="lv-LV"/>
              </w:rPr>
            </w:pPr>
            <w:r w:rsidRPr="00F36B06">
              <w:rPr>
                <w:rFonts w:ascii="Times New Roman" w:hAnsi="Times New Roman"/>
                <w:b/>
                <w:bCs/>
                <w:sz w:val="24"/>
                <w:szCs w:val="24"/>
                <w:lang w:val="lv-LV"/>
              </w:rPr>
              <w:t>Rādītājs</w:t>
            </w:r>
          </w:p>
        </w:tc>
        <w:tc>
          <w:tcPr>
            <w:tcW w:w="3116" w:type="dxa"/>
            <w:tcBorders>
              <w:top w:val="single" w:sz="4" w:space="0" w:color="auto"/>
              <w:left w:val="single" w:sz="4" w:space="0" w:color="auto"/>
              <w:bottom w:val="single" w:sz="4" w:space="0" w:color="auto"/>
              <w:right w:val="single" w:sz="4" w:space="0" w:color="auto"/>
            </w:tcBorders>
            <w:shd w:val="clear" w:color="auto" w:fill="B3E3FA"/>
            <w:hideMark/>
          </w:tcPr>
          <w:p w14:paraId="3B60A8C4" w14:textId="7A7FD91E" w:rsidR="00E226E2" w:rsidRPr="00F36B06" w:rsidRDefault="00E226E2" w:rsidP="00972A80">
            <w:pPr>
              <w:jc w:val="center"/>
              <w:rPr>
                <w:rFonts w:ascii="Times New Roman" w:hAnsi="Times New Roman"/>
                <w:b/>
                <w:bCs/>
                <w:sz w:val="24"/>
                <w:szCs w:val="24"/>
                <w:lang w:val="lv-LV"/>
              </w:rPr>
            </w:pPr>
            <w:r w:rsidRPr="00F36B06">
              <w:rPr>
                <w:rFonts w:ascii="Times New Roman" w:hAnsi="Times New Roman"/>
                <w:b/>
                <w:bCs/>
                <w:sz w:val="24"/>
                <w:szCs w:val="24"/>
                <w:lang w:val="lv-LV"/>
              </w:rPr>
              <w:t>Summa (</w:t>
            </w:r>
            <w:proofErr w:type="spellStart"/>
            <w:r w:rsidR="002D0049" w:rsidRPr="002D0049">
              <w:rPr>
                <w:rFonts w:ascii="Times New Roman" w:hAnsi="Times New Roman"/>
                <w:b/>
                <w:bCs/>
                <w:i/>
                <w:iCs/>
                <w:sz w:val="24"/>
                <w:szCs w:val="24"/>
                <w:lang w:val="lv-LV"/>
              </w:rPr>
              <w:t>euro</w:t>
            </w:r>
            <w:proofErr w:type="spellEnd"/>
            <w:r w:rsidRPr="00F36B06">
              <w:rPr>
                <w:rFonts w:ascii="Times New Roman" w:hAnsi="Times New Roman"/>
                <w:b/>
                <w:bCs/>
                <w:sz w:val="24"/>
                <w:szCs w:val="24"/>
                <w:lang w:val="lv-LV"/>
              </w:rPr>
              <w:t>)</w:t>
            </w:r>
          </w:p>
        </w:tc>
      </w:tr>
      <w:tr w:rsidR="00E226E2" w:rsidRPr="00F36B06" w14:paraId="4F8B72AD"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0DC79734" w14:textId="77777777" w:rsidR="00E226E2" w:rsidRPr="00F36B06" w:rsidRDefault="00E226E2" w:rsidP="00E226E2">
            <w:pPr>
              <w:rPr>
                <w:rFonts w:ascii="Times New Roman" w:hAnsi="Times New Roman"/>
                <w:sz w:val="24"/>
                <w:szCs w:val="24"/>
                <w:lang w:val="lv-LV"/>
              </w:rPr>
            </w:pPr>
            <w:r w:rsidRPr="00F36B06">
              <w:rPr>
                <w:rFonts w:ascii="Times New Roman" w:hAnsi="Times New Roman"/>
                <w:sz w:val="24"/>
                <w:szCs w:val="24"/>
                <w:lang w:val="lv-LV"/>
              </w:rPr>
              <w:t>Atzītie kreditoru prasījumi</w:t>
            </w:r>
          </w:p>
        </w:tc>
        <w:tc>
          <w:tcPr>
            <w:tcW w:w="3116" w:type="dxa"/>
            <w:tcBorders>
              <w:top w:val="single" w:sz="4" w:space="0" w:color="auto"/>
              <w:left w:val="single" w:sz="4" w:space="0" w:color="auto"/>
              <w:bottom w:val="single" w:sz="4" w:space="0" w:color="auto"/>
              <w:right w:val="single" w:sz="4" w:space="0" w:color="auto"/>
            </w:tcBorders>
            <w:hideMark/>
          </w:tcPr>
          <w:p w14:paraId="3D004CB4" w14:textId="01694BC7" w:rsidR="00E226E2" w:rsidRPr="00F36B06" w:rsidRDefault="00E226E2" w:rsidP="00FF110D">
            <w:pPr>
              <w:ind w:firstLine="598"/>
              <w:jc w:val="right"/>
              <w:rPr>
                <w:rFonts w:ascii="Times New Roman" w:hAnsi="Times New Roman"/>
                <w:sz w:val="24"/>
                <w:szCs w:val="24"/>
                <w:lang w:val="lv-LV"/>
              </w:rPr>
            </w:pPr>
            <w:r w:rsidRPr="00F36B06">
              <w:rPr>
                <w:rFonts w:ascii="Times New Roman" w:hAnsi="Times New Roman"/>
                <w:sz w:val="24"/>
                <w:szCs w:val="24"/>
                <w:lang w:val="lv-LV"/>
              </w:rPr>
              <w:t>18</w:t>
            </w:r>
            <w:r w:rsidR="00847F0A" w:rsidRPr="00F36B06">
              <w:rPr>
                <w:rFonts w:ascii="Times New Roman" w:hAnsi="Times New Roman"/>
                <w:sz w:val="24"/>
                <w:szCs w:val="24"/>
                <w:lang w:val="lv-LV"/>
              </w:rPr>
              <w:t> </w:t>
            </w:r>
            <w:r w:rsidRPr="00F36B06">
              <w:rPr>
                <w:rFonts w:ascii="Times New Roman" w:hAnsi="Times New Roman"/>
                <w:sz w:val="24"/>
                <w:szCs w:val="24"/>
                <w:lang w:val="lv-LV"/>
              </w:rPr>
              <w:t>445</w:t>
            </w:r>
            <w:r w:rsidR="00847F0A" w:rsidRPr="00F36B06">
              <w:rPr>
                <w:rFonts w:ascii="Times New Roman" w:hAnsi="Times New Roman"/>
                <w:sz w:val="24"/>
                <w:szCs w:val="24"/>
                <w:lang w:val="lv-LV"/>
              </w:rPr>
              <w:t> </w:t>
            </w:r>
            <w:r w:rsidRPr="00F36B06">
              <w:rPr>
                <w:rFonts w:ascii="Times New Roman" w:hAnsi="Times New Roman"/>
                <w:sz w:val="24"/>
                <w:szCs w:val="24"/>
                <w:lang w:val="lv-LV"/>
              </w:rPr>
              <w:t>060</w:t>
            </w:r>
          </w:p>
        </w:tc>
      </w:tr>
      <w:tr w:rsidR="00E226E2" w:rsidRPr="00F36B06" w14:paraId="5C23E914"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33BB3628" w14:textId="77777777" w:rsidR="00E226E2" w:rsidRPr="00F36B06" w:rsidRDefault="00E226E2" w:rsidP="00E226E2">
            <w:pPr>
              <w:rPr>
                <w:rFonts w:ascii="Times New Roman" w:hAnsi="Times New Roman"/>
                <w:sz w:val="24"/>
                <w:szCs w:val="24"/>
                <w:lang w:val="lv-LV"/>
              </w:rPr>
            </w:pPr>
            <w:r w:rsidRPr="00F36B06">
              <w:rPr>
                <w:rFonts w:ascii="Times New Roman" w:hAnsi="Times New Roman"/>
                <w:sz w:val="24"/>
                <w:szCs w:val="24"/>
                <w:lang w:val="lv-LV"/>
              </w:rPr>
              <w:t>Apmierinātie prasījumi</w:t>
            </w:r>
          </w:p>
        </w:tc>
        <w:tc>
          <w:tcPr>
            <w:tcW w:w="3116" w:type="dxa"/>
            <w:tcBorders>
              <w:top w:val="single" w:sz="4" w:space="0" w:color="auto"/>
              <w:left w:val="single" w:sz="4" w:space="0" w:color="auto"/>
              <w:bottom w:val="single" w:sz="4" w:space="0" w:color="auto"/>
              <w:right w:val="single" w:sz="4" w:space="0" w:color="auto"/>
            </w:tcBorders>
            <w:hideMark/>
          </w:tcPr>
          <w:p w14:paraId="3019782B" w14:textId="2364ED3C" w:rsidR="00E226E2" w:rsidRPr="00F36B06" w:rsidRDefault="00E226E2" w:rsidP="00FF110D">
            <w:pPr>
              <w:ind w:firstLine="598"/>
              <w:jc w:val="right"/>
              <w:rPr>
                <w:rFonts w:ascii="Times New Roman" w:hAnsi="Times New Roman"/>
                <w:sz w:val="24"/>
                <w:szCs w:val="24"/>
                <w:lang w:val="lv-LV"/>
              </w:rPr>
            </w:pPr>
            <w:r w:rsidRPr="00F36B06">
              <w:rPr>
                <w:rFonts w:ascii="Times New Roman" w:hAnsi="Times New Roman"/>
                <w:sz w:val="24"/>
                <w:szCs w:val="24"/>
                <w:lang w:val="lv-LV"/>
              </w:rPr>
              <w:t>5</w:t>
            </w:r>
            <w:r w:rsidR="00847F0A" w:rsidRPr="00F36B06">
              <w:rPr>
                <w:rFonts w:ascii="Times New Roman" w:hAnsi="Times New Roman"/>
                <w:sz w:val="24"/>
                <w:szCs w:val="24"/>
                <w:lang w:val="lv-LV"/>
              </w:rPr>
              <w:t> </w:t>
            </w:r>
            <w:r w:rsidRPr="00F36B06">
              <w:rPr>
                <w:rFonts w:ascii="Times New Roman" w:hAnsi="Times New Roman"/>
                <w:sz w:val="24"/>
                <w:szCs w:val="24"/>
                <w:lang w:val="lv-LV"/>
              </w:rPr>
              <w:t>011</w:t>
            </w:r>
            <w:r w:rsidR="00847F0A" w:rsidRPr="00F36B06">
              <w:rPr>
                <w:rFonts w:ascii="Times New Roman" w:hAnsi="Times New Roman"/>
                <w:sz w:val="24"/>
                <w:szCs w:val="24"/>
                <w:lang w:val="lv-LV"/>
              </w:rPr>
              <w:t> </w:t>
            </w:r>
            <w:r w:rsidRPr="00F36B06">
              <w:rPr>
                <w:rFonts w:ascii="Times New Roman" w:hAnsi="Times New Roman"/>
                <w:sz w:val="24"/>
                <w:szCs w:val="24"/>
                <w:lang w:val="lv-LV"/>
              </w:rPr>
              <w:t>22</w:t>
            </w:r>
            <w:r w:rsidR="00FF110D">
              <w:rPr>
                <w:rFonts w:ascii="Times New Roman" w:hAnsi="Times New Roman"/>
                <w:sz w:val="24"/>
                <w:szCs w:val="24"/>
                <w:lang w:val="lv-LV"/>
              </w:rPr>
              <w:t>1</w:t>
            </w:r>
          </w:p>
        </w:tc>
      </w:tr>
      <w:tr w:rsidR="00E226E2" w:rsidRPr="00F36B06" w14:paraId="26325C1D"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68B18DD6" w14:textId="77777777" w:rsidR="00E226E2" w:rsidRPr="00F36B06" w:rsidRDefault="00E226E2" w:rsidP="00E226E2">
            <w:pPr>
              <w:rPr>
                <w:rFonts w:ascii="Times New Roman" w:hAnsi="Times New Roman"/>
                <w:sz w:val="24"/>
                <w:szCs w:val="24"/>
                <w:lang w:val="lv-LV"/>
              </w:rPr>
            </w:pPr>
            <w:r w:rsidRPr="00F36B06">
              <w:rPr>
                <w:rFonts w:ascii="Times New Roman" w:hAnsi="Times New Roman"/>
                <w:b/>
                <w:sz w:val="24"/>
                <w:szCs w:val="24"/>
                <w:lang w:val="lv-LV"/>
              </w:rPr>
              <w:t>Kopējie kreditoru zaudējumi</w:t>
            </w:r>
          </w:p>
        </w:tc>
        <w:tc>
          <w:tcPr>
            <w:tcW w:w="3116" w:type="dxa"/>
            <w:tcBorders>
              <w:top w:val="single" w:sz="4" w:space="0" w:color="auto"/>
              <w:left w:val="single" w:sz="4" w:space="0" w:color="auto"/>
              <w:bottom w:val="single" w:sz="4" w:space="0" w:color="auto"/>
              <w:right w:val="single" w:sz="4" w:space="0" w:color="auto"/>
            </w:tcBorders>
            <w:hideMark/>
          </w:tcPr>
          <w:p w14:paraId="7E9B4852" w14:textId="196A76F1" w:rsidR="00E226E2" w:rsidRPr="00F36B06" w:rsidRDefault="00E226E2" w:rsidP="00FF110D">
            <w:pPr>
              <w:ind w:firstLine="598"/>
              <w:jc w:val="right"/>
              <w:rPr>
                <w:rFonts w:ascii="Times New Roman" w:hAnsi="Times New Roman"/>
                <w:sz w:val="24"/>
                <w:szCs w:val="24"/>
                <w:lang w:val="lv-LV"/>
              </w:rPr>
            </w:pPr>
            <w:r w:rsidRPr="00F36B06">
              <w:rPr>
                <w:rFonts w:ascii="Times New Roman" w:hAnsi="Times New Roman"/>
                <w:b/>
                <w:sz w:val="24"/>
                <w:szCs w:val="24"/>
                <w:lang w:val="lv-LV"/>
              </w:rPr>
              <w:t>13</w:t>
            </w:r>
            <w:r w:rsidR="00847F0A" w:rsidRPr="00F36B06">
              <w:rPr>
                <w:rFonts w:ascii="Times New Roman" w:hAnsi="Times New Roman"/>
                <w:b/>
                <w:sz w:val="24"/>
                <w:szCs w:val="24"/>
                <w:lang w:val="lv-LV"/>
              </w:rPr>
              <w:t> </w:t>
            </w:r>
            <w:r w:rsidRPr="00F36B06">
              <w:rPr>
                <w:rFonts w:ascii="Times New Roman" w:hAnsi="Times New Roman"/>
                <w:b/>
                <w:sz w:val="24"/>
                <w:szCs w:val="24"/>
                <w:lang w:val="lv-LV"/>
              </w:rPr>
              <w:t>433</w:t>
            </w:r>
            <w:r w:rsidR="00847F0A" w:rsidRPr="00F36B06">
              <w:rPr>
                <w:rFonts w:ascii="Times New Roman" w:hAnsi="Times New Roman"/>
                <w:b/>
                <w:sz w:val="24"/>
                <w:szCs w:val="24"/>
                <w:lang w:val="lv-LV"/>
              </w:rPr>
              <w:t> </w:t>
            </w:r>
            <w:r w:rsidRPr="00F36B06">
              <w:rPr>
                <w:rFonts w:ascii="Times New Roman" w:hAnsi="Times New Roman"/>
                <w:b/>
                <w:sz w:val="24"/>
                <w:szCs w:val="24"/>
                <w:lang w:val="lv-LV"/>
              </w:rPr>
              <w:t>839</w:t>
            </w:r>
          </w:p>
        </w:tc>
      </w:tr>
      <w:tr w:rsidR="00E226E2" w:rsidRPr="00F36B06" w14:paraId="05CCD466"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750494C8" w14:textId="77777777" w:rsidR="00E226E2" w:rsidRPr="00F36B06" w:rsidRDefault="00E226E2" w:rsidP="00E226E2">
            <w:pPr>
              <w:rPr>
                <w:rFonts w:ascii="Times New Roman" w:hAnsi="Times New Roman"/>
                <w:sz w:val="24"/>
                <w:szCs w:val="24"/>
                <w:lang w:val="lv-LV"/>
              </w:rPr>
            </w:pPr>
            <w:r w:rsidRPr="00F36B06">
              <w:rPr>
                <w:rFonts w:ascii="Times New Roman" w:hAnsi="Times New Roman"/>
                <w:sz w:val="24"/>
                <w:szCs w:val="24"/>
                <w:lang w:val="lv-LV"/>
              </w:rPr>
              <w:lastRenderedPageBreak/>
              <w:t>Tiesas piespriestie zaudējumi</w:t>
            </w:r>
          </w:p>
        </w:tc>
        <w:tc>
          <w:tcPr>
            <w:tcW w:w="3116" w:type="dxa"/>
            <w:tcBorders>
              <w:top w:val="single" w:sz="4" w:space="0" w:color="auto"/>
              <w:left w:val="single" w:sz="4" w:space="0" w:color="auto"/>
              <w:bottom w:val="single" w:sz="4" w:space="0" w:color="auto"/>
              <w:right w:val="single" w:sz="4" w:space="0" w:color="auto"/>
            </w:tcBorders>
            <w:hideMark/>
          </w:tcPr>
          <w:p w14:paraId="4BCCAB1A" w14:textId="2461B240" w:rsidR="00E226E2" w:rsidRPr="00F36B06" w:rsidRDefault="00E226E2" w:rsidP="00FF110D">
            <w:pPr>
              <w:ind w:firstLine="598"/>
              <w:jc w:val="right"/>
              <w:rPr>
                <w:rFonts w:ascii="Times New Roman" w:hAnsi="Times New Roman"/>
                <w:sz w:val="24"/>
                <w:szCs w:val="24"/>
                <w:lang w:val="lv-LV"/>
              </w:rPr>
            </w:pPr>
            <w:r w:rsidRPr="00F36B06">
              <w:rPr>
                <w:rFonts w:ascii="Times New Roman" w:hAnsi="Times New Roman"/>
                <w:sz w:val="24"/>
                <w:szCs w:val="24"/>
                <w:lang w:val="lv-LV"/>
              </w:rPr>
              <w:t>891</w:t>
            </w:r>
            <w:r w:rsidR="00847F0A" w:rsidRPr="00F36B06">
              <w:rPr>
                <w:rFonts w:ascii="Times New Roman" w:hAnsi="Times New Roman"/>
                <w:sz w:val="24"/>
                <w:szCs w:val="24"/>
                <w:lang w:val="lv-LV"/>
              </w:rPr>
              <w:t> </w:t>
            </w:r>
            <w:r w:rsidRPr="00F36B06">
              <w:rPr>
                <w:rFonts w:ascii="Times New Roman" w:hAnsi="Times New Roman"/>
                <w:sz w:val="24"/>
                <w:szCs w:val="24"/>
                <w:lang w:val="lv-LV"/>
              </w:rPr>
              <w:t>671</w:t>
            </w:r>
          </w:p>
        </w:tc>
      </w:tr>
      <w:tr w:rsidR="00E226E2" w:rsidRPr="00F36B06" w14:paraId="6FA84042"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1DFCF944" w14:textId="77777777" w:rsidR="00E226E2" w:rsidRPr="00F36B06" w:rsidRDefault="00E226E2" w:rsidP="00E226E2">
            <w:pPr>
              <w:rPr>
                <w:rFonts w:ascii="Times New Roman" w:hAnsi="Times New Roman"/>
                <w:sz w:val="24"/>
                <w:szCs w:val="24"/>
                <w:lang w:val="lv-LV"/>
              </w:rPr>
            </w:pPr>
            <w:r w:rsidRPr="00F36B06">
              <w:rPr>
                <w:rFonts w:ascii="Times New Roman" w:hAnsi="Times New Roman"/>
                <w:sz w:val="24"/>
                <w:szCs w:val="24"/>
                <w:lang w:val="lv-LV"/>
              </w:rPr>
              <w:t>Faktiski atgūtā summa</w:t>
            </w:r>
          </w:p>
        </w:tc>
        <w:tc>
          <w:tcPr>
            <w:tcW w:w="3116" w:type="dxa"/>
            <w:tcBorders>
              <w:top w:val="single" w:sz="4" w:space="0" w:color="auto"/>
              <w:left w:val="single" w:sz="4" w:space="0" w:color="auto"/>
              <w:bottom w:val="single" w:sz="4" w:space="0" w:color="auto"/>
              <w:right w:val="single" w:sz="4" w:space="0" w:color="auto"/>
            </w:tcBorders>
            <w:hideMark/>
          </w:tcPr>
          <w:p w14:paraId="0CF35FA0" w14:textId="01699776" w:rsidR="00E226E2" w:rsidRPr="00F36B06" w:rsidRDefault="00E226E2" w:rsidP="00FF110D">
            <w:pPr>
              <w:ind w:firstLine="598"/>
              <w:jc w:val="right"/>
              <w:rPr>
                <w:rFonts w:ascii="Times New Roman" w:hAnsi="Times New Roman"/>
                <w:sz w:val="24"/>
                <w:szCs w:val="24"/>
                <w:lang w:val="lv-LV"/>
              </w:rPr>
            </w:pPr>
            <w:r w:rsidRPr="00F36B06">
              <w:rPr>
                <w:rFonts w:ascii="Times New Roman" w:hAnsi="Times New Roman"/>
                <w:sz w:val="24"/>
                <w:szCs w:val="24"/>
                <w:lang w:val="lv-LV"/>
              </w:rPr>
              <w:t>205</w:t>
            </w:r>
            <w:r w:rsidR="00847F0A" w:rsidRPr="00F36B06">
              <w:rPr>
                <w:rFonts w:ascii="Times New Roman" w:hAnsi="Times New Roman"/>
                <w:sz w:val="24"/>
                <w:szCs w:val="24"/>
                <w:lang w:val="lv-LV"/>
              </w:rPr>
              <w:t> </w:t>
            </w:r>
            <w:r w:rsidRPr="00F36B06">
              <w:rPr>
                <w:rFonts w:ascii="Times New Roman" w:hAnsi="Times New Roman"/>
                <w:sz w:val="24"/>
                <w:szCs w:val="24"/>
                <w:lang w:val="lv-LV"/>
              </w:rPr>
              <w:t>187</w:t>
            </w:r>
          </w:p>
        </w:tc>
      </w:tr>
      <w:tr w:rsidR="00E226E2" w:rsidRPr="00F36B06" w14:paraId="62ACD8DB"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24B61A97" w14:textId="30A80BC9" w:rsidR="00E226E2" w:rsidRPr="00F36B06" w:rsidRDefault="00E226E2" w:rsidP="00E226E2">
            <w:pPr>
              <w:rPr>
                <w:rFonts w:ascii="Times New Roman" w:hAnsi="Times New Roman"/>
                <w:b/>
                <w:bCs/>
                <w:sz w:val="24"/>
                <w:szCs w:val="24"/>
                <w:lang w:val="lv-LV"/>
              </w:rPr>
            </w:pPr>
            <w:r w:rsidRPr="00F36B06">
              <w:rPr>
                <w:rFonts w:ascii="Times New Roman" w:hAnsi="Times New Roman"/>
                <w:b/>
                <w:bCs/>
                <w:sz w:val="24"/>
                <w:szCs w:val="24"/>
                <w:lang w:val="lv-LV"/>
              </w:rPr>
              <w:t>Nesegtie zaudējumi</w:t>
            </w:r>
          </w:p>
        </w:tc>
        <w:tc>
          <w:tcPr>
            <w:tcW w:w="3116" w:type="dxa"/>
            <w:tcBorders>
              <w:top w:val="single" w:sz="4" w:space="0" w:color="auto"/>
              <w:left w:val="single" w:sz="4" w:space="0" w:color="auto"/>
              <w:bottom w:val="single" w:sz="4" w:space="0" w:color="auto"/>
              <w:right w:val="single" w:sz="4" w:space="0" w:color="auto"/>
            </w:tcBorders>
            <w:hideMark/>
          </w:tcPr>
          <w:p w14:paraId="7926DB02" w14:textId="6D46A267" w:rsidR="00E226E2" w:rsidRPr="00F36B06" w:rsidRDefault="00E226E2" w:rsidP="00FF110D">
            <w:pPr>
              <w:ind w:firstLine="598"/>
              <w:jc w:val="right"/>
              <w:rPr>
                <w:rFonts w:ascii="Times New Roman" w:hAnsi="Times New Roman"/>
                <w:b/>
                <w:bCs/>
                <w:sz w:val="24"/>
                <w:szCs w:val="24"/>
                <w:lang w:val="lv-LV"/>
              </w:rPr>
            </w:pPr>
            <w:r w:rsidRPr="00F36B06">
              <w:rPr>
                <w:rFonts w:ascii="Times New Roman" w:hAnsi="Times New Roman"/>
                <w:b/>
                <w:bCs/>
                <w:sz w:val="24"/>
                <w:szCs w:val="24"/>
                <w:lang w:val="lv-LV"/>
              </w:rPr>
              <w:t>686</w:t>
            </w:r>
            <w:r w:rsidR="00847F0A" w:rsidRPr="00F36B06">
              <w:rPr>
                <w:rFonts w:ascii="Times New Roman" w:hAnsi="Times New Roman"/>
                <w:b/>
                <w:bCs/>
                <w:sz w:val="24"/>
                <w:szCs w:val="24"/>
                <w:lang w:val="lv-LV"/>
              </w:rPr>
              <w:t> </w:t>
            </w:r>
            <w:r w:rsidRPr="00F36B06">
              <w:rPr>
                <w:rFonts w:ascii="Times New Roman" w:hAnsi="Times New Roman"/>
                <w:b/>
                <w:bCs/>
                <w:sz w:val="24"/>
                <w:szCs w:val="24"/>
                <w:lang w:val="lv-LV"/>
              </w:rPr>
              <w:t>48</w:t>
            </w:r>
            <w:r w:rsidR="00FF110D">
              <w:rPr>
                <w:rFonts w:ascii="Times New Roman" w:hAnsi="Times New Roman"/>
                <w:b/>
                <w:bCs/>
                <w:sz w:val="24"/>
                <w:szCs w:val="24"/>
                <w:lang w:val="lv-LV"/>
              </w:rPr>
              <w:t>5</w:t>
            </w:r>
          </w:p>
        </w:tc>
      </w:tr>
      <w:tr w:rsidR="00E226E2" w:rsidRPr="00F36B06" w14:paraId="11DD72B8" w14:textId="77777777" w:rsidTr="00242018">
        <w:trPr>
          <w:trHeight w:val="340"/>
          <w:jc w:val="center"/>
        </w:trPr>
        <w:tc>
          <w:tcPr>
            <w:tcW w:w="5524" w:type="dxa"/>
            <w:tcBorders>
              <w:top w:val="single" w:sz="4" w:space="0" w:color="auto"/>
              <w:left w:val="single" w:sz="4" w:space="0" w:color="auto"/>
              <w:bottom w:val="single" w:sz="4" w:space="0" w:color="auto"/>
              <w:right w:val="single" w:sz="4" w:space="0" w:color="auto"/>
            </w:tcBorders>
            <w:hideMark/>
          </w:tcPr>
          <w:p w14:paraId="1C083096" w14:textId="77777777" w:rsidR="00E226E2" w:rsidRPr="00F36B06" w:rsidRDefault="00E226E2" w:rsidP="00E226E2">
            <w:pPr>
              <w:rPr>
                <w:rFonts w:ascii="Times New Roman" w:hAnsi="Times New Roman"/>
                <w:sz w:val="24"/>
                <w:szCs w:val="24"/>
                <w:lang w:val="lv-LV"/>
              </w:rPr>
            </w:pPr>
            <w:r w:rsidRPr="00F36B06">
              <w:rPr>
                <w:rFonts w:ascii="Times New Roman" w:hAnsi="Times New Roman"/>
                <w:b/>
                <w:sz w:val="24"/>
                <w:szCs w:val="24"/>
                <w:lang w:val="lv-LV"/>
              </w:rPr>
              <w:t>Faktiski segtais kaitējums (%)</w:t>
            </w:r>
          </w:p>
        </w:tc>
        <w:tc>
          <w:tcPr>
            <w:tcW w:w="3116" w:type="dxa"/>
            <w:tcBorders>
              <w:top w:val="single" w:sz="4" w:space="0" w:color="auto"/>
              <w:left w:val="single" w:sz="4" w:space="0" w:color="auto"/>
              <w:bottom w:val="single" w:sz="4" w:space="0" w:color="auto"/>
              <w:right w:val="single" w:sz="4" w:space="0" w:color="auto"/>
            </w:tcBorders>
            <w:hideMark/>
          </w:tcPr>
          <w:p w14:paraId="013CBAF8" w14:textId="168D89D3" w:rsidR="00E226E2" w:rsidRPr="00F36B06" w:rsidRDefault="00E226E2" w:rsidP="00FF110D">
            <w:pPr>
              <w:ind w:firstLine="597"/>
              <w:jc w:val="right"/>
              <w:rPr>
                <w:rFonts w:ascii="Times New Roman" w:hAnsi="Times New Roman"/>
                <w:sz w:val="24"/>
                <w:szCs w:val="24"/>
                <w:lang w:val="lv-LV"/>
              </w:rPr>
            </w:pPr>
            <w:r w:rsidRPr="00F36B06">
              <w:rPr>
                <w:rFonts w:ascii="Times New Roman" w:hAnsi="Times New Roman"/>
                <w:b/>
                <w:sz w:val="24"/>
                <w:szCs w:val="24"/>
                <w:lang w:val="lv-LV"/>
              </w:rPr>
              <w:t>23</w:t>
            </w:r>
          </w:p>
        </w:tc>
      </w:tr>
    </w:tbl>
    <w:p w14:paraId="68A2535F" w14:textId="77777777" w:rsidR="00D03264" w:rsidRDefault="00D03264" w:rsidP="00D03264">
      <w:bookmarkStart w:id="15" w:name="_Toc198649023"/>
    </w:p>
    <w:p w14:paraId="7B7577B1" w14:textId="26DA8EC0" w:rsidR="005B2758" w:rsidRPr="004D3649" w:rsidRDefault="00D03264" w:rsidP="00B770CD">
      <w:pPr>
        <w:spacing w:after="0" w:line="240" w:lineRule="auto"/>
        <w:ind w:firstLine="720"/>
        <w:jc w:val="both"/>
        <w:rPr>
          <w:rFonts w:ascii="Times New Roman" w:eastAsia="Times New Roman" w:hAnsi="Times New Roman" w:cs="Times New Roman"/>
          <w:kern w:val="0"/>
          <w:lang w:eastAsia="lv-LV"/>
          <w14:ligatures w14:val="none"/>
        </w:rPr>
      </w:pPr>
      <w:r w:rsidRPr="00D36403">
        <w:rPr>
          <w:rFonts w:ascii="Times New Roman" w:hAnsi="Times New Roman" w:cs="Times New Roman"/>
        </w:rPr>
        <w:t>Darījumu apstrīdēšana ir viens no nozīmīgākajiem rīkiem parādnieka mantas atgūšanai maksātnespējas procesā.</w:t>
      </w:r>
      <w:r w:rsidR="00814EF2" w:rsidRPr="00D36403">
        <w:rPr>
          <w:rFonts w:ascii="Times New Roman" w:hAnsi="Times New Roman" w:cs="Times New Roman"/>
        </w:rPr>
        <w:t xml:space="preserve"> </w:t>
      </w:r>
      <w:r w:rsidR="00A036CF" w:rsidRPr="00D36403">
        <w:rPr>
          <w:rFonts w:ascii="Times New Roman" w:hAnsi="Times New Roman" w:cs="Times New Roman"/>
        </w:rPr>
        <w:t xml:space="preserve">Šā instrumenta piemērošana ir </w:t>
      </w:r>
      <w:r w:rsidR="007324DB" w:rsidRPr="00D36403">
        <w:rPr>
          <w:rFonts w:ascii="Times New Roman" w:hAnsi="Times New Roman" w:cs="Times New Roman"/>
        </w:rPr>
        <w:t>būtiska, jo</w:t>
      </w:r>
      <w:r w:rsidRPr="00D36403">
        <w:rPr>
          <w:rFonts w:ascii="Times New Roman" w:hAnsi="Times New Roman" w:cs="Times New Roman"/>
        </w:rPr>
        <w:t xml:space="preserve"> kalpo ne tikai mantas atgūšanai konkrētā lietā, bet arī preventīvi – lai atturētu </w:t>
      </w:r>
      <w:r w:rsidR="004E241E" w:rsidRPr="00D36403">
        <w:rPr>
          <w:rFonts w:ascii="Times New Roman" w:hAnsi="Times New Roman" w:cs="Times New Roman"/>
        </w:rPr>
        <w:t xml:space="preserve">visus </w:t>
      </w:r>
      <w:proofErr w:type="spellStart"/>
      <w:r w:rsidR="004E241E" w:rsidRPr="00D36403">
        <w:rPr>
          <w:rFonts w:ascii="Times New Roman" w:hAnsi="Times New Roman" w:cs="Times New Roman"/>
        </w:rPr>
        <w:t>komerc</w:t>
      </w:r>
      <w:r w:rsidR="006D61C4" w:rsidRPr="00D36403">
        <w:rPr>
          <w:rFonts w:ascii="Times New Roman" w:hAnsi="Times New Roman" w:cs="Times New Roman"/>
        </w:rPr>
        <w:t>tiesiskās</w:t>
      </w:r>
      <w:proofErr w:type="spellEnd"/>
      <w:r w:rsidR="006D61C4" w:rsidRPr="00D36403">
        <w:rPr>
          <w:rFonts w:ascii="Times New Roman" w:hAnsi="Times New Roman" w:cs="Times New Roman"/>
        </w:rPr>
        <w:t xml:space="preserve"> </w:t>
      </w:r>
      <w:r w:rsidR="0015056D" w:rsidRPr="00D36403">
        <w:rPr>
          <w:rFonts w:ascii="Times New Roman" w:hAnsi="Times New Roman" w:cs="Times New Roman"/>
        </w:rPr>
        <w:t>aprites dalīb</w:t>
      </w:r>
      <w:r w:rsidR="00B63C95" w:rsidRPr="00D36403">
        <w:rPr>
          <w:rFonts w:ascii="Times New Roman" w:hAnsi="Times New Roman" w:cs="Times New Roman"/>
        </w:rPr>
        <w:t>niekus (</w:t>
      </w:r>
      <w:r w:rsidRPr="00D36403">
        <w:rPr>
          <w:rFonts w:ascii="Times New Roman" w:hAnsi="Times New Roman" w:cs="Times New Roman"/>
        </w:rPr>
        <w:t>parādnieku un</w:t>
      </w:r>
      <w:r w:rsidR="004330DE">
        <w:rPr>
          <w:rFonts w:ascii="Times New Roman" w:hAnsi="Times New Roman" w:cs="Times New Roman"/>
        </w:rPr>
        <w:t xml:space="preserve"> ar</w:t>
      </w:r>
      <w:r w:rsidRPr="00D36403">
        <w:rPr>
          <w:rFonts w:ascii="Times New Roman" w:hAnsi="Times New Roman" w:cs="Times New Roman"/>
        </w:rPr>
        <w:t xml:space="preserve"> to saistītās personas</w:t>
      </w:r>
      <w:r w:rsidR="0019557E" w:rsidRPr="00D36403">
        <w:rPr>
          <w:rFonts w:ascii="Times New Roman" w:hAnsi="Times New Roman" w:cs="Times New Roman"/>
        </w:rPr>
        <w:t>, kreditorus)</w:t>
      </w:r>
      <w:r w:rsidRPr="00D36403">
        <w:rPr>
          <w:rFonts w:ascii="Times New Roman" w:hAnsi="Times New Roman" w:cs="Times New Roman"/>
        </w:rPr>
        <w:t xml:space="preserve"> no kaitnieciskām darbībām, tādējādi stiprinot godīgu komercpraksi.</w:t>
      </w:r>
      <w:r w:rsidR="005B2758" w:rsidRPr="00D36403">
        <w:rPr>
          <w:rFonts w:ascii="Times New Roman" w:eastAsia="Times New Roman" w:hAnsi="Times New Roman" w:cs="Times New Roman"/>
          <w:kern w:val="0"/>
          <w:lang w:eastAsia="lv-LV"/>
          <w14:ligatures w14:val="none"/>
        </w:rPr>
        <w:t xml:space="preserve"> </w:t>
      </w:r>
      <w:r w:rsidR="00234E5E" w:rsidRPr="00D36403">
        <w:rPr>
          <w:rFonts w:ascii="Times New Roman" w:eastAsia="Times New Roman" w:hAnsi="Times New Roman" w:cs="Times New Roman"/>
          <w:kern w:val="0"/>
          <w:lang w:eastAsia="lv-LV"/>
          <w14:ligatures w14:val="none"/>
        </w:rPr>
        <w:t xml:space="preserve">Tāpat būtiski atzīmēt, ka </w:t>
      </w:r>
      <w:r w:rsidR="008B1881" w:rsidRPr="00D36403">
        <w:rPr>
          <w:rFonts w:ascii="Times New Roman" w:eastAsia="Times New Roman" w:hAnsi="Times New Roman" w:cs="Times New Roman"/>
          <w:kern w:val="0"/>
          <w:lang w:eastAsia="lv-LV"/>
          <w14:ligatures w14:val="none"/>
        </w:rPr>
        <w:t xml:space="preserve">darījumu apstrīdēšana prasa īpašu administratora rūpību </w:t>
      </w:r>
      <w:r w:rsidR="00B770CD" w:rsidRPr="00D36403">
        <w:rPr>
          <w:rFonts w:ascii="Times New Roman" w:eastAsia="Times New Roman" w:hAnsi="Times New Roman" w:cs="Times New Roman"/>
          <w:kern w:val="0"/>
          <w:lang w:eastAsia="lv-LV"/>
          <w14:ligatures w14:val="none"/>
        </w:rPr>
        <w:t xml:space="preserve">– </w:t>
      </w:r>
      <w:r w:rsidR="00234E5E" w:rsidRPr="00D36403">
        <w:rPr>
          <w:rFonts w:ascii="Times New Roman" w:eastAsia="Times New Roman" w:hAnsi="Times New Roman" w:cs="Times New Roman"/>
          <w:kern w:val="0"/>
          <w:lang w:eastAsia="lv-LV"/>
          <w14:ligatures w14:val="none"/>
        </w:rPr>
        <w:t>d</w:t>
      </w:r>
      <w:r w:rsidR="005B2758" w:rsidRPr="00D36403">
        <w:rPr>
          <w:rFonts w:ascii="Times New Roman" w:eastAsia="Times New Roman" w:hAnsi="Times New Roman" w:cs="Times New Roman"/>
          <w:kern w:val="0"/>
          <w:lang w:eastAsia="lv-LV"/>
          <w14:ligatures w14:val="none"/>
        </w:rPr>
        <w:t>arījumu apstrīdēšanā svarīgi saglabāt līdzsvaru starp kreditoru interešu aizsardzību un tiesiskās drošības nodrošināšanu civiltiesiskajā apgrozībā. Pārāk plaša darījumu apstrīdēšana var mazināt uzņēmējdarbības stabilitāti, savukārt pārāk šaura – apdraudēt kreditoru tiesības.</w:t>
      </w:r>
    </w:p>
    <w:p w14:paraId="1D56E4D0" w14:textId="77777777" w:rsidR="00D03264" w:rsidRDefault="00D03264" w:rsidP="00D03264"/>
    <w:p w14:paraId="48159EC5" w14:textId="77777777" w:rsidR="00D03264" w:rsidRDefault="00D03264">
      <w:r>
        <w:br w:type="page"/>
      </w:r>
    </w:p>
    <w:bookmarkEnd w:id="15"/>
    <w:p w14:paraId="1C0307B6" w14:textId="77882FD0" w:rsidR="007E5732" w:rsidRDefault="007E5732" w:rsidP="00EB5729">
      <w:pPr>
        <w:spacing w:after="0" w:line="240" w:lineRule="auto"/>
        <w:ind w:firstLine="720"/>
        <w:jc w:val="both"/>
        <w:rPr>
          <w:rFonts w:ascii="Times New Roman" w:hAnsi="Times New Roman" w:cs="Times New Roman"/>
        </w:rPr>
      </w:pPr>
      <w:r>
        <w:rPr>
          <w:noProof/>
        </w:rPr>
        <w:lastRenderedPageBreak/>
        <mc:AlternateContent>
          <mc:Choice Requires="wps">
            <w:drawing>
              <wp:anchor distT="0" distB="0" distL="114300" distR="114300" simplePos="0" relativeHeight="251676672" behindDoc="0" locked="0" layoutInCell="1" allowOverlap="1" wp14:anchorId="12EE670C" wp14:editId="79C67552">
                <wp:simplePos x="0" y="0"/>
                <wp:positionH relativeFrom="margin">
                  <wp:posOffset>34735</wp:posOffset>
                </wp:positionH>
                <wp:positionV relativeFrom="paragraph">
                  <wp:posOffset>-3175</wp:posOffset>
                </wp:positionV>
                <wp:extent cx="5902036" cy="308759"/>
                <wp:effectExtent l="0" t="0" r="22860" b="15240"/>
                <wp:wrapNone/>
                <wp:docPr id="322040164" name="Text Box 8"/>
                <wp:cNvGraphicFramePr/>
                <a:graphic xmlns:a="http://schemas.openxmlformats.org/drawingml/2006/main">
                  <a:graphicData uri="http://schemas.microsoft.com/office/word/2010/wordprocessingShape">
                    <wps:wsp>
                      <wps:cNvSpPr txBox="1"/>
                      <wps:spPr>
                        <a:xfrm>
                          <a:off x="0" y="0"/>
                          <a:ext cx="5902036" cy="308759"/>
                        </a:xfrm>
                        <a:prstGeom prst="rect">
                          <a:avLst/>
                        </a:prstGeom>
                        <a:solidFill>
                          <a:srgbClr val="B3E3FA"/>
                        </a:solidFill>
                        <a:ln w="6350">
                          <a:solidFill>
                            <a:schemeClr val="bg1"/>
                          </a:solidFill>
                        </a:ln>
                      </wps:spPr>
                      <wps:txbx>
                        <w:txbxContent>
                          <w:p w14:paraId="142C8EC1" w14:textId="43901CA2" w:rsidR="007E5732" w:rsidRPr="007E5732" w:rsidRDefault="007E5732" w:rsidP="007E5732">
                            <w:pPr>
                              <w:jc w:val="center"/>
                              <w:rPr>
                                <w:rFonts w:ascii="Times New Roman" w:hAnsi="Times New Roman" w:cs="Times New Roman"/>
                                <w:b/>
                                <w:bCs/>
                                <w:sz w:val="28"/>
                                <w:szCs w:val="28"/>
                              </w:rPr>
                            </w:pPr>
                            <w:r w:rsidRPr="007E5732">
                              <w:rPr>
                                <w:rFonts w:ascii="Times New Roman" w:hAnsi="Times New Roman" w:cs="Times New Roman"/>
                                <w:b/>
                                <w:bCs/>
                                <w:sz w:val="28"/>
                                <w:szCs w:val="28"/>
                              </w:rPr>
                              <w:t>Secinājumi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E670C" id="_x0000_s1034" type="#_x0000_t202" style="position:absolute;left:0;text-align:left;margin-left:2.75pt;margin-top:-.25pt;width:464.75pt;height:24.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" fillcolor="#b3e3fa" strokecolor="white [3212]" strokeweight=".5pt">
                <v:textbox>
                  <w:txbxContent>
                    <w:p w14:paraId="142C8EC1" w14:textId="43901CA2" w:rsidR="007E5732" w:rsidRPr="007E5732" w:rsidRDefault="007E5732" w:rsidP="007E5732">
                      <w:pPr>
                        <w:jc w:val="center"/>
                        <w:rPr>
                          <w:rFonts w:ascii="Times New Roman" w:hAnsi="Times New Roman" w:cs="Times New Roman"/>
                          <w:b/>
                          <w:bCs/>
                          <w:sz w:val="28"/>
                          <w:szCs w:val="28"/>
                        </w:rPr>
                      </w:pPr>
                      <w:r w:rsidRPr="007E5732">
                        <w:rPr>
                          <w:rFonts w:ascii="Times New Roman" w:hAnsi="Times New Roman" w:cs="Times New Roman"/>
                          <w:b/>
                          <w:bCs/>
                          <w:sz w:val="28"/>
                          <w:szCs w:val="28"/>
                        </w:rPr>
                        <w:t>Secinājumi</w:t>
                      </w:r>
                    </w:p>
                  </w:txbxContent>
                </v:textbox>
                <w10:wrap anchorx="margin"/>
              </v:shape>
            </w:pict>
          </mc:Fallback>
        </mc:AlternateContent>
      </w:r>
    </w:p>
    <w:p w14:paraId="5BBA466C" w14:textId="3FDC0A69" w:rsidR="007E5732" w:rsidRDefault="007E5732" w:rsidP="00EB5729">
      <w:pPr>
        <w:spacing w:after="0" w:line="240" w:lineRule="auto"/>
        <w:ind w:firstLine="720"/>
        <w:jc w:val="both"/>
        <w:rPr>
          <w:rFonts w:ascii="Times New Roman" w:hAnsi="Times New Roman" w:cs="Times New Roman"/>
        </w:rPr>
      </w:pPr>
    </w:p>
    <w:p w14:paraId="7489FCB6" w14:textId="3B4B8857" w:rsidR="00626900" w:rsidRPr="00F36B06" w:rsidRDefault="00181626" w:rsidP="00EB5729">
      <w:pPr>
        <w:spacing w:after="0" w:line="240" w:lineRule="auto"/>
        <w:ind w:firstLine="720"/>
        <w:jc w:val="both"/>
        <w:rPr>
          <w:rFonts w:ascii="Times New Roman" w:hAnsi="Times New Roman" w:cs="Times New Roman"/>
        </w:rPr>
      </w:pPr>
      <w:r w:rsidRPr="00F36B06">
        <w:rPr>
          <w:rFonts w:ascii="Times New Roman" w:hAnsi="Times New Roman" w:cs="Times New Roman"/>
        </w:rPr>
        <w:t>Lai gan juridiskās personas atbildība</w:t>
      </w:r>
      <w:r w:rsidR="00450F81" w:rsidRPr="00F36B06">
        <w:rPr>
          <w:rFonts w:ascii="Times New Roman" w:hAnsi="Times New Roman" w:cs="Times New Roman"/>
        </w:rPr>
        <w:t xml:space="preserve"> </w:t>
      </w:r>
      <w:r w:rsidRPr="00F36B06">
        <w:rPr>
          <w:rFonts w:ascii="Times New Roman" w:hAnsi="Times New Roman" w:cs="Times New Roman"/>
        </w:rPr>
        <w:t xml:space="preserve">ir nošķirta no tās dibinātāju </w:t>
      </w:r>
      <w:r w:rsidR="00696AB2" w:rsidRPr="00F36B06">
        <w:rPr>
          <w:rFonts w:ascii="Times New Roman" w:hAnsi="Times New Roman" w:cs="Times New Roman"/>
        </w:rPr>
        <w:t xml:space="preserve">un </w:t>
      </w:r>
      <w:r w:rsidR="007E3683" w:rsidRPr="00F36B06">
        <w:rPr>
          <w:rFonts w:ascii="Times New Roman" w:hAnsi="Times New Roman" w:cs="Times New Roman"/>
        </w:rPr>
        <w:t xml:space="preserve">pārvaldes institūciju locekļu </w:t>
      </w:r>
      <w:r w:rsidRPr="00F36B06">
        <w:rPr>
          <w:rFonts w:ascii="Times New Roman" w:hAnsi="Times New Roman" w:cs="Times New Roman"/>
        </w:rPr>
        <w:t xml:space="preserve">atbildības, </w:t>
      </w:r>
      <w:r w:rsidR="00820F6E" w:rsidRPr="00F36B06">
        <w:rPr>
          <w:rFonts w:ascii="Times New Roman" w:hAnsi="Times New Roman" w:cs="Times New Roman"/>
        </w:rPr>
        <w:t xml:space="preserve">pastāv situācijas, kurās iespējams atkāpties no </w:t>
      </w:r>
      <w:r w:rsidR="00174EAE" w:rsidRPr="00F36B06">
        <w:rPr>
          <w:rFonts w:ascii="Times New Roman" w:hAnsi="Times New Roman" w:cs="Times New Roman"/>
        </w:rPr>
        <w:t>šī</w:t>
      </w:r>
      <w:r w:rsidR="00820F6E" w:rsidRPr="00F36B06">
        <w:rPr>
          <w:rFonts w:ascii="Times New Roman" w:hAnsi="Times New Roman" w:cs="Times New Roman"/>
        </w:rPr>
        <w:t xml:space="preserve"> principa un saukt juridiskās personas pārstāvjus pie administratīvās, kriminālās un civil</w:t>
      </w:r>
      <w:r w:rsidR="00BF30A1" w:rsidRPr="00F36B06">
        <w:rPr>
          <w:rFonts w:ascii="Times New Roman" w:hAnsi="Times New Roman" w:cs="Times New Roman"/>
        </w:rPr>
        <w:t>tiesiskās</w:t>
      </w:r>
      <w:r w:rsidR="00820F6E" w:rsidRPr="00F36B06">
        <w:rPr>
          <w:rFonts w:ascii="Times New Roman" w:hAnsi="Times New Roman" w:cs="Times New Roman"/>
        </w:rPr>
        <w:t xml:space="preserve"> atbildības.</w:t>
      </w:r>
      <w:r w:rsidR="00801152" w:rsidRPr="00F36B06">
        <w:rPr>
          <w:rFonts w:ascii="Times New Roman" w:hAnsi="Times New Roman" w:cs="Times New Roman"/>
        </w:rPr>
        <w:t xml:space="preserve"> </w:t>
      </w:r>
      <w:r w:rsidR="00EE02B8" w:rsidRPr="00F36B06">
        <w:rPr>
          <w:rFonts w:ascii="Times New Roman" w:hAnsi="Times New Roman" w:cs="Times New Roman"/>
        </w:rPr>
        <w:t>Vienlaikus ir jāmin, ka likuma "Par nodokļiem un nodevām" XI nodaļa paredz atbildību par juridiskās personas nokavētajiem nodokļu maksājumiem persona</w:t>
      </w:r>
      <w:r w:rsidR="0075766E" w:rsidRPr="00F36B06">
        <w:rPr>
          <w:rFonts w:ascii="Times New Roman" w:hAnsi="Times New Roman" w:cs="Times New Roman"/>
        </w:rPr>
        <w:t>i</w:t>
      </w:r>
      <w:r w:rsidR="00EE02B8" w:rsidRPr="00F36B06">
        <w:rPr>
          <w:rFonts w:ascii="Times New Roman" w:hAnsi="Times New Roman" w:cs="Times New Roman"/>
        </w:rPr>
        <w:t xml:space="preserve">, kura ir bijusi šīs juridiskās personas valdes loceklis vai kura faktiski īsteno valdes funkcijas un uzdevumus laikā, kad attiecīgie nokavētie nodokļu maksājumi ir izveidojušies. </w:t>
      </w:r>
    </w:p>
    <w:p w14:paraId="308D8523" w14:textId="41A86726" w:rsidR="00196EF5" w:rsidRPr="00F36B06" w:rsidRDefault="00801152" w:rsidP="00EB5729">
      <w:pPr>
        <w:spacing w:after="0" w:line="240" w:lineRule="auto"/>
        <w:ind w:firstLine="720"/>
        <w:jc w:val="both"/>
        <w:rPr>
          <w:rFonts w:ascii="Times New Roman" w:hAnsi="Times New Roman" w:cs="Times New Roman"/>
        </w:rPr>
      </w:pPr>
      <w:r w:rsidRPr="00F36B06">
        <w:rPr>
          <w:rFonts w:ascii="Times New Roman" w:hAnsi="Times New Roman" w:cs="Times New Roman"/>
        </w:rPr>
        <w:t>Ņemot vērā to, ka kreditori vienmēr ir ieinteresēti, lai zaudējumi, ja tādi tiek nodarīti, pēc iespējas tiktu atlīdzināti</w:t>
      </w:r>
      <w:r w:rsidR="00DC397F" w:rsidRPr="00F36B06">
        <w:rPr>
          <w:rFonts w:ascii="Times New Roman" w:hAnsi="Times New Roman" w:cs="Times New Roman"/>
        </w:rPr>
        <w:t>, v</w:t>
      </w:r>
      <w:r w:rsidR="00C23627" w:rsidRPr="00F36B06">
        <w:rPr>
          <w:rFonts w:ascii="Times New Roman" w:hAnsi="Times New Roman" w:cs="Times New Roman"/>
        </w:rPr>
        <w:t xml:space="preserve">iens no būtiskākajiem </w:t>
      </w:r>
      <w:r w:rsidR="00590E86" w:rsidRPr="00F36B06">
        <w:rPr>
          <w:rFonts w:ascii="Times New Roman" w:hAnsi="Times New Roman" w:cs="Times New Roman"/>
        </w:rPr>
        <w:t>juridiskās</w:t>
      </w:r>
      <w:r w:rsidR="00967E66" w:rsidRPr="00F36B06">
        <w:rPr>
          <w:rFonts w:ascii="Times New Roman" w:hAnsi="Times New Roman" w:cs="Times New Roman"/>
        </w:rPr>
        <w:t xml:space="preserve"> atbildības veidiem maksātnespējas procesā ir civiltiesiskā at</w:t>
      </w:r>
      <w:r w:rsidR="00EC3B19" w:rsidRPr="00F36B06">
        <w:rPr>
          <w:rFonts w:ascii="Times New Roman" w:hAnsi="Times New Roman" w:cs="Times New Roman"/>
        </w:rPr>
        <w:t>bildība, k</w:t>
      </w:r>
      <w:r w:rsidR="00595985" w:rsidRPr="00F36B06">
        <w:rPr>
          <w:rFonts w:ascii="Times New Roman" w:hAnsi="Times New Roman" w:cs="Times New Roman"/>
        </w:rPr>
        <w:t xml:space="preserve">urai </w:t>
      </w:r>
      <w:r w:rsidR="00DC397F" w:rsidRPr="00F36B06">
        <w:rPr>
          <w:rFonts w:ascii="Times New Roman" w:hAnsi="Times New Roman" w:cs="Times New Roman"/>
        </w:rPr>
        <w:t xml:space="preserve">ir </w:t>
      </w:r>
      <w:r w:rsidR="00D82FCD" w:rsidRPr="00F36B06">
        <w:rPr>
          <w:rFonts w:ascii="Times New Roman" w:hAnsi="Times New Roman" w:cs="Times New Roman"/>
        </w:rPr>
        <w:t>gan zaudējumu atlīdzināšanas</w:t>
      </w:r>
      <w:r w:rsidR="00DC397F" w:rsidRPr="00F36B06">
        <w:rPr>
          <w:rFonts w:ascii="Times New Roman" w:hAnsi="Times New Roman" w:cs="Times New Roman"/>
        </w:rPr>
        <w:t>, ir gan preventīvs</w:t>
      </w:r>
      <w:r w:rsidR="00D82FCD" w:rsidRPr="00F36B06">
        <w:rPr>
          <w:rFonts w:ascii="Times New Roman" w:hAnsi="Times New Roman" w:cs="Times New Roman"/>
        </w:rPr>
        <w:t xml:space="preserve"> mērķis</w:t>
      </w:r>
      <w:r w:rsidR="00A538F1" w:rsidRPr="00F36B06">
        <w:rPr>
          <w:rFonts w:ascii="Times New Roman" w:hAnsi="Times New Roman" w:cs="Times New Roman"/>
        </w:rPr>
        <w:t xml:space="preserve">. </w:t>
      </w:r>
      <w:r w:rsidR="00942588" w:rsidRPr="00F36B06">
        <w:rPr>
          <w:rFonts w:ascii="Times New Roman" w:hAnsi="Times New Roman" w:cs="Times New Roman"/>
        </w:rPr>
        <w:t>Līdz ar to</w:t>
      </w:r>
      <w:r w:rsidR="00020D2A" w:rsidRPr="00F36B06">
        <w:rPr>
          <w:rFonts w:ascii="Times New Roman" w:hAnsi="Times New Roman" w:cs="Times New Roman"/>
        </w:rPr>
        <w:t xml:space="preserve"> </w:t>
      </w:r>
      <w:r w:rsidR="00BA76BC" w:rsidRPr="00F36B06">
        <w:rPr>
          <w:rFonts w:ascii="Times New Roman" w:hAnsi="Times New Roman" w:cs="Times New Roman"/>
        </w:rPr>
        <w:t>civiltiesiskās atbildība</w:t>
      </w:r>
      <w:r w:rsidR="00377133" w:rsidRPr="00F36B06">
        <w:rPr>
          <w:rFonts w:ascii="Times New Roman" w:hAnsi="Times New Roman" w:cs="Times New Roman"/>
        </w:rPr>
        <w:t>i</w:t>
      </w:r>
      <w:r w:rsidR="00BA76BC" w:rsidRPr="00F36B06">
        <w:rPr>
          <w:rFonts w:ascii="Times New Roman" w:hAnsi="Times New Roman" w:cs="Times New Roman"/>
        </w:rPr>
        <w:t xml:space="preserve"> jādarbojas efektīvi</w:t>
      </w:r>
      <w:r w:rsidR="00F62073" w:rsidRPr="00F36B06">
        <w:rPr>
          <w:rFonts w:ascii="Times New Roman" w:hAnsi="Times New Roman" w:cs="Times New Roman"/>
        </w:rPr>
        <w:t>, lai t</w:t>
      </w:r>
      <w:r w:rsidR="00AB2DE9" w:rsidRPr="00F36B06">
        <w:rPr>
          <w:rFonts w:ascii="Times New Roman" w:hAnsi="Times New Roman" w:cs="Times New Roman"/>
        </w:rPr>
        <w:t>ā</w:t>
      </w:r>
      <w:r w:rsidR="00F62073" w:rsidRPr="00F36B06">
        <w:rPr>
          <w:rFonts w:ascii="Times New Roman" w:hAnsi="Times New Roman" w:cs="Times New Roman"/>
        </w:rPr>
        <w:t xml:space="preserve"> varētu sasniegt</w:t>
      </w:r>
      <w:r w:rsidR="00555FBA" w:rsidRPr="00F36B06">
        <w:rPr>
          <w:rFonts w:ascii="Times New Roman" w:hAnsi="Times New Roman" w:cs="Times New Roman"/>
        </w:rPr>
        <w:t xml:space="preserve"> šos</w:t>
      </w:r>
      <w:r w:rsidR="00F62073" w:rsidRPr="00F36B06">
        <w:rPr>
          <w:rFonts w:ascii="Times New Roman" w:hAnsi="Times New Roman" w:cs="Times New Roman"/>
        </w:rPr>
        <w:t xml:space="preserve"> mērķ</w:t>
      </w:r>
      <w:r w:rsidR="00555FBA" w:rsidRPr="00F36B06">
        <w:rPr>
          <w:rFonts w:ascii="Times New Roman" w:hAnsi="Times New Roman" w:cs="Times New Roman"/>
        </w:rPr>
        <w:t>us</w:t>
      </w:r>
      <w:r w:rsidR="0083020D" w:rsidRPr="00F36B06">
        <w:rPr>
          <w:rFonts w:ascii="Times New Roman" w:hAnsi="Times New Roman" w:cs="Times New Roman"/>
        </w:rPr>
        <w:t>.</w:t>
      </w:r>
      <w:r w:rsidR="00FE0B0E" w:rsidRPr="00F36B06">
        <w:rPr>
          <w:rFonts w:ascii="Times New Roman" w:hAnsi="Times New Roman" w:cs="Times New Roman"/>
        </w:rPr>
        <w:t xml:space="preserve"> </w:t>
      </w:r>
    </w:p>
    <w:p w14:paraId="6CBDC9F1" w14:textId="353D9F7A" w:rsidR="00957A9C" w:rsidRPr="00F36B06" w:rsidRDefault="0093192D" w:rsidP="00EB5729">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Ievērojot pētījuma </w:t>
      </w:r>
      <w:r w:rsidR="00A31B1E" w:rsidRPr="00F36B06">
        <w:rPr>
          <w:rFonts w:ascii="Times New Roman" w:hAnsi="Times New Roman" w:cs="Times New Roman"/>
        </w:rPr>
        <w:t>rezultātā konstatēto,</w:t>
      </w:r>
      <w:r w:rsidR="00957A9C" w:rsidRPr="00F36B06">
        <w:rPr>
          <w:rFonts w:ascii="Times New Roman" w:hAnsi="Times New Roman" w:cs="Times New Roman"/>
        </w:rPr>
        <w:t xml:space="preserve"> </w:t>
      </w:r>
      <w:r w:rsidR="00C03FC9" w:rsidRPr="00F36B06">
        <w:rPr>
          <w:rFonts w:ascii="Times New Roman" w:hAnsi="Times New Roman" w:cs="Times New Roman"/>
        </w:rPr>
        <w:t xml:space="preserve">var izdarīt secinājumu, ka </w:t>
      </w:r>
      <w:r w:rsidR="00957A9C" w:rsidRPr="00F36B06">
        <w:rPr>
          <w:rFonts w:ascii="Times New Roman" w:hAnsi="Times New Roman" w:cs="Times New Roman"/>
        </w:rPr>
        <w:t>valdes locekļu</w:t>
      </w:r>
      <w:r w:rsidR="00A31B1E" w:rsidRPr="00F36B06">
        <w:rPr>
          <w:rFonts w:ascii="Times New Roman" w:hAnsi="Times New Roman" w:cs="Times New Roman"/>
        </w:rPr>
        <w:t xml:space="preserve"> civiltie</w:t>
      </w:r>
      <w:r w:rsidR="00957A9C" w:rsidRPr="00F36B06">
        <w:rPr>
          <w:rFonts w:ascii="Times New Roman" w:hAnsi="Times New Roman" w:cs="Times New Roman"/>
        </w:rPr>
        <w:t>s</w:t>
      </w:r>
      <w:r w:rsidR="00A31B1E" w:rsidRPr="00F36B06">
        <w:rPr>
          <w:rFonts w:ascii="Times New Roman" w:hAnsi="Times New Roman" w:cs="Times New Roman"/>
        </w:rPr>
        <w:t>iskā</w:t>
      </w:r>
      <w:r w:rsidR="00957A9C" w:rsidRPr="00F36B06">
        <w:rPr>
          <w:rFonts w:ascii="Times New Roman" w:hAnsi="Times New Roman" w:cs="Times New Roman"/>
        </w:rPr>
        <w:t>s</w:t>
      </w:r>
      <w:r w:rsidR="00A31B1E" w:rsidRPr="00F36B06">
        <w:rPr>
          <w:rFonts w:ascii="Times New Roman" w:hAnsi="Times New Roman" w:cs="Times New Roman"/>
        </w:rPr>
        <w:t xml:space="preserve"> atbildība</w:t>
      </w:r>
      <w:r w:rsidR="00957A9C" w:rsidRPr="00F36B06">
        <w:rPr>
          <w:rFonts w:ascii="Times New Roman" w:hAnsi="Times New Roman" w:cs="Times New Roman"/>
        </w:rPr>
        <w:t xml:space="preserve">s </w:t>
      </w:r>
      <w:r w:rsidR="00C03FC9" w:rsidRPr="00F36B06">
        <w:rPr>
          <w:rFonts w:ascii="Times New Roman" w:hAnsi="Times New Roman" w:cs="Times New Roman"/>
        </w:rPr>
        <w:t>institūta</w:t>
      </w:r>
      <w:r w:rsidR="00A31B1E" w:rsidRPr="00F36B06">
        <w:rPr>
          <w:rFonts w:ascii="Times New Roman" w:hAnsi="Times New Roman" w:cs="Times New Roman"/>
        </w:rPr>
        <w:t xml:space="preserve"> </w:t>
      </w:r>
      <w:r w:rsidR="00957A9C" w:rsidRPr="00F36B06">
        <w:rPr>
          <w:rFonts w:ascii="Times New Roman" w:hAnsi="Times New Roman" w:cs="Times New Roman"/>
        </w:rPr>
        <w:t xml:space="preserve">maksātnespējas procesa ietvaros </w:t>
      </w:r>
      <w:r w:rsidR="001D3576" w:rsidRPr="00F36B06">
        <w:rPr>
          <w:rFonts w:ascii="Times New Roman" w:hAnsi="Times New Roman" w:cs="Times New Roman"/>
        </w:rPr>
        <w:t xml:space="preserve">efektivitāte </w:t>
      </w:r>
      <w:r w:rsidR="00957A9C" w:rsidRPr="00F36B06">
        <w:rPr>
          <w:rFonts w:ascii="Times New Roman" w:hAnsi="Times New Roman" w:cs="Times New Roman"/>
        </w:rPr>
        <w:t>ir ļoti zema</w:t>
      </w:r>
      <w:r w:rsidR="003442BA" w:rsidRPr="00F36B06">
        <w:rPr>
          <w:rFonts w:ascii="Times New Roman" w:hAnsi="Times New Roman" w:cs="Times New Roman"/>
        </w:rPr>
        <w:t xml:space="preserve">, </w:t>
      </w:r>
      <w:r w:rsidR="00961E33" w:rsidRPr="00F36B06">
        <w:rPr>
          <w:rFonts w:ascii="Times New Roman" w:hAnsi="Times New Roman" w:cs="Times New Roman"/>
        </w:rPr>
        <w:t xml:space="preserve">kas </w:t>
      </w:r>
      <w:r w:rsidR="00FC0728" w:rsidRPr="00F36B06">
        <w:rPr>
          <w:rFonts w:ascii="Times New Roman" w:hAnsi="Times New Roman" w:cs="Times New Roman"/>
        </w:rPr>
        <w:t>ir skaidrojams ar</w:t>
      </w:r>
      <w:r w:rsidR="003442BA" w:rsidRPr="00F36B06">
        <w:rPr>
          <w:rFonts w:ascii="Times New Roman" w:hAnsi="Times New Roman" w:cs="Times New Roman"/>
        </w:rPr>
        <w:t xml:space="preserve"> maksātnespējas procesa specifiku </w:t>
      </w:r>
      <w:r w:rsidR="00886E5A" w:rsidRPr="00F36B06">
        <w:rPr>
          <w:rFonts w:ascii="Times New Roman" w:hAnsi="Times New Roman" w:cs="Times New Roman"/>
        </w:rPr>
        <w:t>–</w:t>
      </w:r>
      <w:r w:rsidR="003442BA" w:rsidRPr="00F36B06">
        <w:rPr>
          <w:rFonts w:ascii="Times New Roman" w:hAnsi="Times New Roman" w:cs="Times New Roman"/>
        </w:rPr>
        <w:t xml:space="preserve"> </w:t>
      </w:r>
      <w:r w:rsidR="00886E5A" w:rsidRPr="00F36B06">
        <w:rPr>
          <w:rFonts w:ascii="Times New Roman" w:hAnsi="Times New Roman" w:cs="Times New Roman"/>
        </w:rPr>
        <w:t xml:space="preserve">process ir ierobežots termiņā, </w:t>
      </w:r>
      <w:r w:rsidR="007B510C" w:rsidRPr="00F36B06">
        <w:rPr>
          <w:rFonts w:ascii="Times New Roman" w:hAnsi="Times New Roman" w:cs="Times New Roman"/>
        </w:rPr>
        <w:t xml:space="preserve">līdz ar to piedziņas iespējas tajā </w:t>
      </w:r>
      <w:r w:rsidR="009210EC" w:rsidRPr="00F36B06">
        <w:rPr>
          <w:rFonts w:ascii="Times New Roman" w:hAnsi="Times New Roman" w:cs="Times New Roman"/>
        </w:rPr>
        <w:t xml:space="preserve">arī </w:t>
      </w:r>
      <w:r w:rsidR="007B510C" w:rsidRPr="00F36B06">
        <w:rPr>
          <w:rFonts w:ascii="Times New Roman" w:hAnsi="Times New Roman" w:cs="Times New Roman"/>
        </w:rPr>
        <w:t>ir ierobežotas</w:t>
      </w:r>
      <w:r w:rsidR="00B33168" w:rsidRPr="00F36B06">
        <w:rPr>
          <w:rFonts w:ascii="Times New Roman" w:hAnsi="Times New Roman" w:cs="Times New Roman"/>
        </w:rPr>
        <w:t xml:space="preserve">. </w:t>
      </w:r>
      <w:r w:rsidR="00C442EE" w:rsidRPr="00F36B06">
        <w:rPr>
          <w:rFonts w:ascii="Times New Roman" w:hAnsi="Times New Roman" w:cs="Times New Roman"/>
        </w:rPr>
        <w:t xml:space="preserve">Turklāt </w:t>
      </w:r>
      <w:r w:rsidR="003951B0" w:rsidRPr="00F36B06">
        <w:rPr>
          <w:rFonts w:ascii="Times New Roman" w:hAnsi="Times New Roman" w:cs="Times New Roman"/>
        </w:rPr>
        <w:t xml:space="preserve">uz maksātnespējas procesa pasludināšanas brīdi parādnieka valdes locekļiem nepieder </w:t>
      </w:r>
      <w:r w:rsidR="00F7701C" w:rsidRPr="00F36B06">
        <w:rPr>
          <w:rFonts w:ascii="Times New Roman" w:hAnsi="Times New Roman" w:cs="Times New Roman"/>
        </w:rPr>
        <w:t xml:space="preserve">manta, uz kuru būtu iespējams vērst piedziņu. </w:t>
      </w:r>
      <w:r w:rsidR="00165025" w:rsidRPr="00F36B06">
        <w:rPr>
          <w:rFonts w:ascii="Times New Roman" w:hAnsi="Times New Roman" w:cs="Times New Roman"/>
        </w:rPr>
        <w:t>Minētie apst</w:t>
      </w:r>
      <w:r w:rsidR="008E0D35" w:rsidRPr="00F36B06">
        <w:rPr>
          <w:rFonts w:ascii="Times New Roman" w:hAnsi="Times New Roman" w:cs="Times New Roman"/>
        </w:rPr>
        <w:t xml:space="preserve">ākļi </w:t>
      </w:r>
      <w:r w:rsidR="00954966" w:rsidRPr="00F36B06">
        <w:rPr>
          <w:rFonts w:ascii="Times New Roman" w:hAnsi="Times New Roman" w:cs="Times New Roman"/>
        </w:rPr>
        <w:t xml:space="preserve">ietekmē kreditoru lēmumu </w:t>
      </w:r>
      <w:r w:rsidR="00DB68CC" w:rsidRPr="00F36B06">
        <w:rPr>
          <w:rFonts w:ascii="Times New Roman" w:hAnsi="Times New Roman" w:cs="Times New Roman"/>
        </w:rPr>
        <w:t>atbalstīt administratora piedāvājumu</w:t>
      </w:r>
      <w:r w:rsidR="00693E28" w:rsidRPr="00F36B06">
        <w:rPr>
          <w:rFonts w:ascii="Times New Roman" w:hAnsi="Times New Roman" w:cs="Times New Roman"/>
        </w:rPr>
        <w:t xml:space="preserve"> noslēgt izlīgumu vai </w:t>
      </w:r>
      <w:r w:rsidR="00DB6CC2" w:rsidRPr="00F36B06">
        <w:rPr>
          <w:rFonts w:ascii="Times New Roman" w:hAnsi="Times New Roman" w:cs="Times New Roman"/>
        </w:rPr>
        <w:t>cedēt piespriesto parāda summu</w:t>
      </w:r>
      <w:r w:rsidR="00FF5791" w:rsidRPr="00F36B06">
        <w:rPr>
          <w:rFonts w:ascii="Times New Roman" w:hAnsi="Times New Roman" w:cs="Times New Roman"/>
        </w:rPr>
        <w:t xml:space="preserve"> par salīdzinoši zemu cenu</w:t>
      </w:r>
      <w:r w:rsidR="00143419" w:rsidRPr="00F36B06">
        <w:rPr>
          <w:rFonts w:ascii="Times New Roman" w:hAnsi="Times New Roman" w:cs="Times New Roman"/>
        </w:rPr>
        <w:t xml:space="preserve">. Būtiski atzīmēt, ka </w:t>
      </w:r>
      <w:r w:rsidR="00C442EE" w:rsidRPr="00F36B06">
        <w:rPr>
          <w:rFonts w:ascii="Times New Roman" w:hAnsi="Times New Roman" w:cs="Times New Roman"/>
        </w:rPr>
        <w:t xml:space="preserve">zaudējumu atlīdzības procesā </w:t>
      </w:r>
      <w:r w:rsidR="00143419" w:rsidRPr="00F36B06">
        <w:rPr>
          <w:rFonts w:ascii="Times New Roman" w:hAnsi="Times New Roman" w:cs="Times New Roman"/>
        </w:rPr>
        <w:t xml:space="preserve">ir ieguldīts ievērojams </w:t>
      </w:r>
      <w:r w:rsidR="00077AF0" w:rsidRPr="00F36B06">
        <w:rPr>
          <w:rFonts w:ascii="Times New Roman" w:hAnsi="Times New Roman" w:cs="Times New Roman"/>
        </w:rPr>
        <w:t>resurss</w:t>
      </w:r>
      <w:r w:rsidR="00F1286A" w:rsidRPr="00F36B06">
        <w:rPr>
          <w:rFonts w:ascii="Times New Roman" w:hAnsi="Times New Roman" w:cs="Times New Roman"/>
        </w:rPr>
        <w:t>, proti,</w:t>
      </w:r>
      <w:r w:rsidR="00077AF0" w:rsidRPr="00F36B06">
        <w:rPr>
          <w:rFonts w:ascii="Times New Roman" w:hAnsi="Times New Roman" w:cs="Times New Roman"/>
        </w:rPr>
        <w:t xml:space="preserve"> lai panāktu zaudējumu atlīdzības prasījuma apmierināju</w:t>
      </w:r>
      <w:r w:rsidR="00272EBC" w:rsidRPr="00F36B06">
        <w:rPr>
          <w:rFonts w:ascii="Times New Roman" w:hAnsi="Times New Roman" w:cs="Times New Roman"/>
        </w:rPr>
        <w:t>mu</w:t>
      </w:r>
      <w:r w:rsidR="00077AF0" w:rsidRPr="00F36B06">
        <w:rPr>
          <w:rFonts w:ascii="Times New Roman" w:hAnsi="Times New Roman" w:cs="Times New Roman"/>
        </w:rPr>
        <w:t xml:space="preserve">, administratoram </w:t>
      </w:r>
      <w:r w:rsidR="00192550" w:rsidRPr="00F36B06">
        <w:rPr>
          <w:rFonts w:ascii="Times New Roman" w:hAnsi="Times New Roman" w:cs="Times New Roman"/>
        </w:rPr>
        <w:t xml:space="preserve">ir jāsagatavo </w:t>
      </w:r>
      <w:r w:rsidR="00040EA0" w:rsidRPr="00F36B06">
        <w:rPr>
          <w:rFonts w:ascii="Times New Roman" w:hAnsi="Times New Roman" w:cs="Times New Roman"/>
        </w:rPr>
        <w:t>prasības pieteikums, jāpiedalās tiesvedības procesā (līdz pat trīs instancēm)</w:t>
      </w:r>
      <w:r w:rsidR="00663D2B" w:rsidRPr="00F36B06">
        <w:rPr>
          <w:rFonts w:ascii="Times New Roman" w:hAnsi="Times New Roman" w:cs="Times New Roman"/>
        </w:rPr>
        <w:t xml:space="preserve">, attiecīgi </w:t>
      </w:r>
      <w:r w:rsidR="00123523" w:rsidRPr="00F36B06">
        <w:rPr>
          <w:rFonts w:ascii="Times New Roman" w:hAnsi="Times New Roman" w:cs="Times New Roman"/>
        </w:rPr>
        <w:t>tiek patērēts arī tiesas resurss</w:t>
      </w:r>
      <w:r w:rsidR="00681804" w:rsidRPr="00F36B06">
        <w:rPr>
          <w:rFonts w:ascii="Times New Roman" w:hAnsi="Times New Roman" w:cs="Times New Roman"/>
        </w:rPr>
        <w:t>.</w:t>
      </w:r>
    </w:p>
    <w:p w14:paraId="639ED5A1" w14:textId="734815F3" w:rsidR="00131DFD" w:rsidRPr="00F36B06" w:rsidRDefault="00D213F7" w:rsidP="00283E06">
      <w:pPr>
        <w:spacing w:after="0" w:line="240" w:lineRule="auto"/>
        <w:ind w:firstLine="720"/>
        <w:jc w:val="both"/>
        <w:rPr>
          <w:rFonts w:ascii="Times New Roman" w:hAnsi="Times New Roman" w:cs="Times New Roman"/>
        </w:rPr>
      </w:pPr>
      <w:r w:rsidRPr="00F36B06">
        <w:rPr>
          <w:rFonts w:ascii="Times New Roman" w:hAnsi="Times New Roman" w:cs="Times New Roman"/>
        </w:rPr>
        <w:t>Civiltiesiskās atbildības institūta zem</w:t>
      </w:r>
      <w:r w:rsidR="0039370E" w:rsidRPr="00F36B06">
        <w:rPr>
          <w:rFonts w:ascii="Times New Roman" w:hAnsi="Times New Roman" w:cs="Times New Roman"/>
        </w:rPr>
        <w:t>ā</w:t>
      </w:r>
      <w:r w:rsidRPr="00F36B06">
        <w:rPr>
          <w:rFonts w:ascii="Times New Roman" w:hAnsi="Times New Roman" w:cs="Times New Roman"/>
        </w:rPr>
        <w:t xml:space="preserve">s efektivitātes rezultātā tiek nodarīti zaudējumi </w:t>
      </w:r>
      <w:r w:rsidR="003A070C" w:rsidRPr="00F36B06">
        <w:rPr>
          <w:rFonts w:ascii="Times New Roman" w:hAnsi="Times New Roman" w:cs="Times New Roman"/>
        </w:rPr>
        <w:t>pašai sabiedrībai un līdz ar to arī tās kreditoriem, kā arī</w:t>
      </w:r>
      <w:r w:rsidR="00054930" w:rsidRPr="00F36B06">
        <w:rPr>
          <w:rFonts w:ascii="Times New Roman" w:hAnsi="Times New Roman" w:cs="Times New Roman"/>
        </w:rPr>
        <w:t xml:space="preserve"> kopumā </w:t>
      </w:r>
      <w:r w:rsidR="003A070C" w:rsidRPr="00F36B06">
        <w:rPr>
          <w:rFonts w:ascii="Times New Roman" w:hAnsi="Times New Roman" w:cs="Times New Roman"/>
        </w:rPr>
        <w:t xml:space="preserve">negatīvi </w:t>
      </w:r>
      <w:r w:rsidR="00F46C87" w:rsidRPr="00F36B06">
        <w:rPr>
          <w:rFonts w:ascii="Times New Roman" w:hAnsi="Times New Roman" w:cs="Times New Roman"/>
        </w:rPr>
        <w:t xml:space="preserve">tiek </w:t>
      </w:r>
      <w:r w:rsidR="003A070C" w:rsidRPr="00F36B06">
        <w:rPr>
          <w:rFonts w:ascii="Times New Roman" w:hAnsi="Times New Roman" w:cs="Times New Roman"/>
        </w:rPr>
        <w:t xml:space="preserve">ietekmēta </w:t>
      </w:r>
      <w:proofErr w:type="spellStart"/>
      <w:r w:rsidR="003A070C" w:rsidRPr="00F36B06">
        <w:rPr>
          <w:rFonts w:ascii="Times New Roman" w:hAnsi="Times New Roman" w:cs="Times New Roman"/>
        </w:rPr>
        <w:t>komerctiesiskā</w:t>
      </w:r>
      <w:proofErr w:type="spellEnd"/>
      <w:r w:rsidR="003A070C" w:rsidRPr="00F36B06">
        <w:rPr>
          <w:rFonts w:ascii="Times New Roman" w:hAnsi="Times New Roman" w:cs="Times New Roman"/>
        </w:rPr>
        <w:t xml:space="preserve"> vide</w:t>
      </w:r>
      <w:r w:rsidR="00F46C87" w:rsidRPr="00F36B06">
        <w:rPr>
          <w:rFonts w:ascii="Times New Roman" w:hAnsi="Times New Roman" w:cs="Times New Roman"/>
        </w:rPr>
        <w:t xml:space="preserve">: </w:t>
      </w:r>
      <w:r w:rsidR="008453CA" w:rsidRPr="00F36B06">
        <w:rPr>
          <w:rFonts w:ascii="Times New Roman" w:hAnsi="Times New Roman" w:cs="Times New Roman"/>
        </w:rPr>
        <w:t>j</w:t>
      </w:r>
      <w:r w:rsidR="00F46C87" w:rsidRPr="00F36B06">
        <w:rPr>
          <w:rFonts w:ascii="Times New Roman" w:hAnsi="Times New Roman" w:cs="Times New Roman"/>
        </w:rPr>
        <w:t>a vadītāji</w:t>
      </w:r>
      <w:r w:rsidR="001904E3" w:rsidRPr="00F36B06">
        <w:rPr>
          <w:rFonts w:ascii="Times New Roman" w:hAnsi="Times New Roman" w:cs="Times New Roman"/>
        </w:rPr>
        <w:t xml:space="preserve"> </w:t>
      </w:r>
      <w:r w:rsidR="009E33EB" w:rsidRPr="00F36B06">
        <w:rPr>
          <w:rFonts w:ascii="Times New Roman" w:hAnsi="Times New Roman" w:cs="Times New Roman"/>
        </w:rPr>
        <w:t>(valdes locekļi)</w:t>
      </w:r>
      <w:r w:rsidR="001904E3" w:rsidRPr="00F36B06">
        <w:rPr>
          <w:rFonts w:ascii="Times New Roman" w:hAnsi="Times New Roman" w:cs="Times New Roman"/>
        </w:rPr>
        <w:t xml:space="preserve"> apzinās, ka</w:t>
      </w:r>
      <w:r w:rsidR="004740E1" w:rsidRPr="00F36B06">
        <w:rPr>
          <w:rFonts w:ascii="Times New Roman" w:hAnsi="Times New Roman" w:cs="Times New Roman"/>
        </w:rPr>
        <w:t xml:space="preserve"> </w:t>
      </w:r>
      <w:r w:rsidR="00131DFD" w:rsidRPr="00F36B06">
        <w:rPr>
          <w:rFonts w:ascii="Times New Roman" w:hAnsi="Times New Roman" w:cs="Times New Roman"/>
        </w:rPr>
        <w:t>pēc būtības pastāv reālas</w:t>
      </w:r>
      <w:r w:rsidR="004740E1" w:rsidRPr="00F36B06">
        <w:rPr>
          <w:rFonts w:ascii="Times New Roman" w:hAnsi="Times New Roman" w:cs="Times New Roman"/>
        </w:rPr>
        <w:t xml:space="preserve"> iespēja</w:t>
      </w:r>
      <w:r w:rsidR="00131DFD" w:rsidRPr="00F36B06">
        <w:rPr>
          <w:rFonts w:ascii="Times New Roman" w:hAnsi="Times New Roman" w:cs="Times New Roman"/>
        </w:rPr>
        <w:t xml:space="preserve">s </w:t>
      </w:r>
      <w:r w:rsidR="004740E1" w:rsidRPr="00F36B06">
        <w:rPr>
          <w:rFonts w:ascii="Times New Roman" w:hAnsi="Times New Roman" w:cs="Times New Roman"/>
        </w:rPr>
        <w:t xml:space="preserve">izvairīties </w:t>
      </w:r>
      <w:r w:rsidR="00131DFD" w:rsidRPr="00F36B06">
        <w:rPr>
          <w:rFonts w:ascii="Times New Roman" w:hAnsi="Times New Roman" w:cs="Times New Roman"/>
        </w:rPr>
        <w:t>no civiltiesiskās atbildības</w:t>
      </w:r>
      <w:r w:rsidR="00ED20C2" w:rsidRPr="00F36B06">
        <w:rPr>
          <w:rFonts w:ascii="Times New Roman" w:hAnsi="Times New Roman" w:cs="Times New Roman"/>
        </w:rPr>
        <w:t xml:space="preserve"> </w:t>
      </w:r>
      <w:r w:rsidR="00296435" w:rsidRPr="00F36B06">
        <w:rPr>
          <w:rFonts w:ascii="Times New Roman" w:hAnsi="Times New Roman" w:cs="Times New Roman"/>
        </w:rPr>
        <w:t xml:space="preserve">sekām </w:t>
      </w:r>
      <w:r w:rsidR="003E5263" w:rsidRPr="00F36B06">
        <w:rPr>
          <w:rFonts w:ascii="Times New Roman" w:hAnsi="Times New Roman" w:cs="Times New Roman"/>
        </w:rPr>
        <w:t>– piespriesto zaudējumu atlīdzināšanas</w:t>
      </w:r>
      <w:r w:rsidR="00F46C87" w:rsidRPr="00F36B06">
        <w:rPr>
          <w:rFonts w:ascii="Times New Roman" w:hAnsi="Times New Roman" w:cs="Times New Roman"/>
        </w:rPr>
        <w:t xml:space="preserve">, viņi </w:t>
      </w:r>
      <w:r w:rsidR="00131DFD" w:rsidRPr="00F36B06">
        <w:rPr>
          <w:rFonts w:ascii="Times New Roman" w:hAnsi="Times New Roman" w:cs="Times New Roman"/>
        </w:rPr>
        <w:t>ir</w:t>
      </w:r>
      <w:r w:rsidR="00F46C87" w:rsidRPr="00F36B06">
        <w:rPr>
          <w:rFonts w:ascii="Times New Roman" w:hAnsi="Times New Roman" w:cs="Times New Roman"/>
        </w:rPr>
        <w:t xml:space="preserve"> mazāk motivēti rūpīgi izvērtēt savas darbības sekas</w:t>
      </w:r>
      <w:r w:rsidR="00ED3A2B" w:rsidRPr="00F36B06">
        <w:rPr>
          <w:rFonts w:ascii="Times New Roman" w:hAnsi="Times New Roman" w:cs="Times New Roman"/>
        </w:rPr>
        <w:t xml:space="preserve">, kas savukārt negatīvi ietekmē arī citus </w:t>
      </w:r>
      <w:proofErr w:type="spellStart"/>
      <w:r w:rsidR="00ED3A2B" w:rsidRPr="00F36B06">
        <w:rPr>
          <w:rFonts w:ascii="Times New Roman" w:hAnsi="Times New Roman" w:cs="Times New Roman"/>
        </w:rPr>
        <w:t>komerctiesiskās</w:t>
      </w:r>
      <w:proofErr w:type="spellEnd"/>
      <w:r w:rsidR="00ED3A2B" w:rsidRPr="00F36B06">
        <w:rPr>
          <w:rFonts w:ascii="Times New Roman" w:hAnsi="Times New Roman" w:cs="Times New Roman"/>
        </w:rPr>
        <w:t xml:space="preserve"> vides dalībniekus, kam ir jāuzņemas lielāki riski.</w:t>
      </w:r>
      <w:r w:rsidR="00331CF0" w:rsidRPr="00F36B06">
        <w:rPr>
          <w:rFonts w:ascii="Times New Roman" w:hAnsi="Times New Roman" w:cs="Times New Roman"/>
        </w:rPr>
        <w:t xml:space="preserve"> </w:t>
      </w:r>
      <w:r w:rsidR="00B47B79" w:rsidRPr="00F36B06">
        <w:rPr>
          <w:rFonts w:ascii="Times New Roman" w:hAnsi="Times New Roman" w:cs="Times New Roman"/>
        </w:rPr>
        <w:t>T</w:t>
      </w:r>
      <w:r w:rsidR="00331CF0" w:rsidRPr="00F36B06">
        <w:rPr>
          <w:rFonts w:ascii="Times New Roman" w:hAnsi="Times New Roman" w:cs="Times New Roman"/>
        </w:rPr>
        <w:t>ādējādi netiek novērst</w:t>
      </w:r>
      <w:r w:rsidR="00283E06" w:rsidRPr="00F36B06">
        <w:rPr>
          <w:rFonts w:ascii="Times New Roman" w:hAnsi="Times New Roman" w:cs="Times New Roman"/>
        </w:rPr>
        <w:t>i arī riski, kas izceļas no prettiesiskās rīcības.</w:t>
      </w:r>
      <w:r w:rsidR="00EF32AC" w:rsidRPr="00F36B06">
        <w:rPr>
          <w:rFonts w:ascii="Times New Roman" w:hAnsi="Times New Roman" w:cs="Times New Roman"/>
        </w:rPr>
        <w:t xml:space="preserve"> Respektīvi, ja valdes locekļiem nav jāuztraucas par civiltiesisko atbildību, tas var veicināt bezatbildīgu un pat negodprātīgu uzņēmējdarbības praksi</w:t>
      </w:r>
      <w:r w:rsidR="0072465F" w:rsidRPr="00F36B06">
        <w:rPr>
          <w:rFonts w:ascii="Times New Roman" w:hAnsi="Times New Roman" w:cs="Times New Roman"/>
        </w:rPr>
        <w:t>.</w:t>
      </w:r>
      <w:r w:rsidR="00240D05" w:rsidRPr="00F36B06">
        <w:rPr>
          <w:rFonts w:ascii="Times New Roman" w:hAnsi="Times New Roman" w:cs="Times New Roman"/>
        </w:rPr>
        <w:t xml:space="preserve"> Šāda situācija</w:t>
      </w:r>
      <w:r w:rsidR="00EF32AC" w:rsidRPr="00F36B06">
        <w:rPr>
          <w:rFonts w:ascii="Times New Roman" w:hAnsi="Times New Roman" w:cs="Times New Roman"/>
        </w:rPr>
        <w:t xml:space="preserve"> negatīvi ietekmē ekonomiku</w:t>
      </w:r>
      <w:r w:rsidR="007A04D9" w:rsidRPr="00F36B06">
        <w:rPr>
          <w:rFonts w:ascii="Times New Roman" w:hAnsi="Times New Roman" w:cs="Times New Roman"/>
        </w:rPr>
        <w:t xml:space="preserve"> kopumā</w:t>
      </w:r>
      <w:r w:rsidR="00EF32AC" w:rsidRPr="00F36B06">
        <w:rPr>
          <w:rFonts w:ascii="Times New Roman" w:hAnsi="Times New Roman" w:cs="Times New Roman"/>
        </w:rPr>
        <w:t>.</w:t>
      </w:r>
      <w:r w:rsidR="00ED3A2B" w:rsidRPr="00F36B06">
        <w:rPr>
          <w:rFonts w:ascii="Times New Roman" w:hAnsi="Times New Roman" w:cs="Times New Roman"/>
        </w:rPr>
        <w:t xml:space="preserve"> </w:t>
      </w:r>
    </w:p>
    <w:p w14:paraId="300E345D" w14:textId="77777777" w:rsidR="007841D9" w:rsidRPr="00F36B06" w:rsidRDefault="00D36603" w:rsidP="00EB5729">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Tomēr </w:t>
      </w:r>
      <w:r w:rsidR="008E39DF" w:rsidRPr="00F36B06">
        <w:rPr>
          <w:rFonts w:ascii="Times New Roman" w:hAnsi="Times New Roman" w:cs="Times New Roman"/>
        </w:rPr>
        <w:t xml:space="preserve">neapšaubāmi būtu neracionāli un nelietderīgi </w:t>
      </w:r>
      <w:r w:rsidR="009B35EB" w:rsidRPr="00F36B06">
        <w:rPr>
          <w:rFonts w:ascii="Times New Roman" w:hAnsi="Times New Roman" w:cs="Times New Roman"/>
        </w:rPr>
        <w:t>atteikties no valdes locekļu civiltiesiskās atbildības institūta</w:t>
      </w:r>
      <w:r w:rsidR="00DF3733" w:rsidRPr="00F36B06">
        <w:rPr>
          <w:rFonts w:ascii="Times New Roman" w:hAnsi="Times New Roman" w:cs="Times New Roman"/>
        </w:rPr>
        <w:t xml:space="preserve">, jo šīs atbildības esamība ir būtisks tiesiskās drošības un </w:t>
      </w:r>
      <w:proofErr w:type="spellStart"/>
      <w:r w:rsidR="00DF3733" w:rsidRPr="00F36B06">
        <w:rPr>
          <w:rFonts w:ascii="Times New Roman" w:hAnsi="Times New Roman" w:cs="Times New Roman"/>
        </w:rPr>
        <w:t>komercvides</w:t>
      </w:r>
      <w:proofErr w:type="spellEnd"/>
      <w:r w:rsidR="00DF3733" w:rsidRPr="00F36B06">
        <w:rPr>
          <w:rFonts w:ascii="Times New Roman" w:hAnsi="Times New Roman" w:cs="Times New Roman"/>
        </w:rPr>
        <w:t xml:space="preserve"> stabilitātes priekšnoteikums. Civiltiesiskā atbildība kalpo kā preventīvs mehānisms, kas disciplinē uzņēmumu vadītājus un motivē viņus rīkoties godprātīgi un atbildīgi, aizsargājot ne tikai pašu uzņēmumu, bet arī tā kreditoru, darbinieku un sadarbības partneru intereses. Ja šāds mehānisms nepastāvētu, komercdarbības vide kļūtu ievērojami nestabilāka un riskantāka, jo uzņēmumu vadītāji varētu pieņemt ekonomiski nepamatotus vai pat apzināti kaitnieciskus lēmumus bez reālām sekām, radot būtiskus zaudējumus gan atsevišķiem tirgus dalībniekiem, gan tautsaimniecībai kopumā.</w:t>
      </w:r>
      <w:r w:rsidR="009B35EB" w:rsidRPr="00F36B06">
        <w:rPr>
          <w:rFonts w:ascii="Times New Roman" w:hAnsi="Times New Roman" w:cs="Times New Roman"/>
        </w:rPr>
        <w:t xml:space="preserve"> </w:t>
      </w:r>
    </w:p>
    <w:p w14:paraId="58B3542D" w14:textId="7C80430E" w:rsidR="00681804" w:rsidRPr="00F36B06" w:rsidRDefault="00681804" w:rsidP="00EB5729">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Līdz ar to ir </w:t>
      </w:r>
      <w:r w:rsidR="000A2FB0" w:rsidRPr="00F36B06">
        <w:rPr>
          <w:rFonts w:ascii="Times New Roman" w:hAnsi="Times New Roman" w:cs="Times New Roman"/>
        </w:rPr>
        <w:t xml:space="preserve">jāmeklē risinājumi, kas ļautu paaugstināt civiltiesiskās atbildības institūta efektivitāti vai </w:t>
      </w:r>
      <w:r w:rsidR="006C20E9" w:rsidRPr="00F36B06">
        <w:rPr>
          <w:rFonts w:ascii="Times New Roman" w:hAnsi="Times New Roman" w:cs="Times New Roman"/>
        </w:rPr>
        <w:t xml:space="preserve">arī </w:t>
      </w:r>
      <w:r w:rsidR="00293A1A" w:rsidRPr="00F36B06">
        <w:rPr>
          <w:rFonts w:ascii="Times New Roman" w:hAnsi="Times New Roman" w:cs="Times New Roman"/>
        </w:rPr>
        <w:t xml:space="preserve">iespējamās alternatīvas, kas atbilstu </w:t>
      </w:r>
      <w:r w:rsidR="00C145D9" w:rsidRPr="00F36B06">
        <w:rPr>
          <w:rFonts w:ascii="Times New Roman" w:hAnsi="Times New Roman" w:cs="Times New Roman"/>
        </w:rPr>
        <w:t xml:space="preserve">sabiedrības un kreditoru interesēm. </w:t>
      </w:r>
    </w:p>
    <w:p w14:paraId="1ECC09C3" w14:textId="0570F5C6" w:rsidR="00B03F76" w:rsidRPr="00F36B06" w:rsidRDefault="00322142" w:rsidP="00102208">
      <w:pPr>
        <w:spacing w:after="0" w:line="240" w:lineRule="auto"/>
        <w:ind w:firstLine="720"/>
        <w:jc w:val="both"/>
        <w:rPr>
          <w:rFonts w:ascii="Times New Roman" w:hAnsi="Times New Roman" w:cs="Times New Roman"/>
        </w:rPr>
      </w:pPr>
      <w:r w:rsidRPr="00F36B06">
        <w:rPr>
          <w:rFonts w:ascii="Times New Roman" w:hAnsi="Times New Roman" w:cs="Times New Roman"/>
        </w:rPr>
        <w:t>Tā kā</w:t>
      </w:r>
      <w:r w:rsidR="009710CA" w:rsidRPr="00F36B06">
        <w:rPr>
          <w:rFonts w:ascii="Times New Roman" w:hAnsi="Times New Roman" w:cs="Times New Roman"/>
        </w:rPr>
        <w:t xml:space="preserve"> mantas neesamība valdes locekļa īpašum</w:t>
      </w:r>
      <w:r w:rsidR="009764A2" w:rsidRPr="00F36B06">
        <w:rPr>
          <w:rFonts w:ascii="Times New Roman" w:hAnsi="Times New Roman" w:cs="Times New Roman"/>
        </w:rPr>
        <w:t>ā</w:t>
      </w:r>
      <w:r w:rsidR="009710CA" w:rsidRPr="00F36B06">
        <w:rPr>
          <w:rFonts w:ascii="Times New Roman" w:hAnsi="Times New Roman" w:cs="Times New Roman"/>
        </w:rPr>
        <w:t xml:space="preserve"> piedziņas vēršanas brīdī </w:t>
      </w:r>
      <w:r w:rsidR="007014AD" w:rsidRPr="00F36B06">
        <w:rPr>
          <w:rFonts w:ascii="Times New Roman" w:hAnsi="Times New Roman" w:cs="Times New Roman"/>
        </w:rPr>
        <w:t xml:space="preserve">ir viens no galvenajiem iemesliem, kāpēc </w:t>
      </w:r>
      <w:r w:rsidR="00F8018A" w:rsidRPr="00F36B06">
        <w:rPr>
          <w:rFonts w:ascii="Times New Roman" w:hAnsi="Times New Roman" w:cs="Times New Roman"/>
        </w:rPr>
        <w:t xml:space="preserve">piedziņas vēršana pret valdes locekli </w:t>
      </w:r>
      <w:r w:rsidR="00653C0E" w:rsidRPr="00F36B06">
        <w:rPr>
          <w:rFonts w:ascii="Times New Roman" w:hAnsi="Times New Roman" w:cs="Times New Roman"/>
        </w:rPr>
        <w:t>nebija</w:t>
      </w:r>
      <w:r w:rsidR="00F8018A" w:rsidRPr="00F36B06">
        <w:rPr>
          <w:rFonts w:ascii="Times New Roman" w:hAnsi="Times New Roman" w:cs="Times New Roman"/>
        </w:rPr>
        <w:t xml:space="preserve"> iespējama</w:t>
      </w:r>
      <w:r w:rsidR="00801752" w:rsidRPr="00F36B06">
        <w:rPr>
          <w:rFonts w:ascii="Times New Roman" w:hAnsi="Times New Roman" w:cs="Times New Roman"/>
        </w:rPr>
        <w:t xml:space="preserve">, </w:t>
      </w:r>
      <w:r w:rsidR="00E86A73" w:rsidRPr="00F36B06">
        <w:rPr>
          <w:rFonts w:ascii="Times New Roman" w:hAnsi="Times New Roman" w:cs="Times New Roman"/>
        </w:rPr>
        <w:t xml:space="preserve">jāvērtē potenciālie risinājumi, </w:t>
      </w:r>
      <w:r w:rsidR="00956DE9" w:rsidRPr="00F36B06">
        <w:rPr>
          <w:rFonts w:ascii="Times New Roman" w:hAnsi="Times New Roman" w:cs="Times New Roman"/>
        </w:rPr>
        <w:t>kas nepieļa</w:t>
      </w:r>
      <w:r w:rsidR="00C442EE" w:rsidRPr="00F36B06">
        <w:rPr>
          <w:rFonts w:ascii="Times New Roman" w:hAnsi="Times New Roman" w:cs="Times New Roman"/>
        </w:rPr>
        <w:t>utu</w:t>
      </w:r>
      <w:r w:rsidR="00956DE9" w:rsidRPr="00F36B06">
        <w:rPr>
          <w:rFonts w:ascii="Times New Roman" w:hAnsi="Times New Roman" w:cs="Times New Roman"/>
        </w:rPr>
        <w:t xml:space="preserve"> </w:t>
      </w:r>
      <w:r w:rsidR="00F754FE" w:rsidRPr="00F36B06">
        <w:rPr>
          <w:rFonts w:ascii="Times New Roman" w:hAnsi="Times New Roman" w:cs="Times New Roman"/>
        </w:rPr>
        <w:t>mantas slēpšanu</w:t>
      </w:r>
      <w:r w:rsidR="00095F98" w:rsidRPr="00F36B06">
        <w:rPr>
          <w:rFonts w:ascii="Times New Roman" w:hAnsi="Times New Roman" w:cs="Times New Roman"/>
        </w:rPr>
        <w:t xml:space="preserve"> nolūkā izvairīties no </w:t>
      </w:r>
      <w:r w:rsidR="00DB7880" w:rsidRPr="00F36B06">
        <w:rPr>
          <w:rFonts w:ascii="Times New Roman" w:hAnsi="Times New Roman" w:cs="Times New Roman"/>
        </w:rPr>
        <w:t>zaudējumu atlīdzināšanas</w:t>
      </w:r>
      <w:r w:rsidR="00095F98" w:rsidRPr="00F36B06">
        <w:rPr>
          <w:rFonts w:ascii="Times New Roman" w:hAnsi="Times New Roman" w:cs="Times New Roman"/>
        </w:rPr>
        <w:t>,</w:t>
      </w:r>
      <w:r w:rsidR="00BB4D15" w:rsidRPr="00F36B06">
        <w:rPr>
          <w:rFonts w:ascii="Times New Roman" w:hAnsi="Times New Roman" w:cs="Times New Roman"/>
        </w:rPr>
        <w:t xml:space="preserve"> vai </w:t>
      </w:r>
      <w:r w:rsidR="00BD54EA" w:rsidRPr="00F36B06">
        <w:rPr>
          <w:rFonts w:ascii="Times New Roman" w:hAnsi="Times New Roman" w:cs="Times New Roman"/>
        </w:rPr>
        <w:t xml:space="preserve">nodrošināt iespēju vērst piedziņu </w:t>
      </w:r>
      <w:r w:rsidR="00A3569B" w:rsidRPr="00F36B06">
        <w:rPr>
          <w:rFonts w:ascii="Times New Roman" w:hAnsi="Times New Roman" w:cs="Times New Roman"/>
        </w:rPr>
        <w:t>mantas neesamības gadījumā</w:t>
      </w:r>
      <w:r w:rsidR="004F6985" w:rsidRPr="00F36B06">
        <w:rPr>
          <w:rFonts w:ascii="Times New Roman" w:hAnsi="Times New Roman" w:cs="Times New Roman"/>
        </w:rPr>
        <w:t>.</w:t>
      </w:r>
      <w:r w:rsidR="00B04AF6" w:rsidRPr="00F36B06">
        <w:rPr>
          <w:rFonts w:ascii="Times New Roman" w:hAnsi="Times New Roman" w:cs="Times New Roman"/>
        </w:rPr>
        <w:t xml:space="preserve"> </w:t>
      </w:r>
    </w:p>
    <w:p w14:paraId="1493B271" w14:textId="0448AFA9" w:rsidR="00806C18" w:rsidRPr="00F36B06" w:rsidRDefault="00B04AF6" w:rsidP="00102208">
      <w:pPr>
        <w:spacing w:after="0" w:line="240" w:lineRule="auto"/>
        <w:ind w:firstLine="720"/>
        <w:jc w:val="both"/>
        <w:rPr>
          <w:rFonts w:ascii="Times New Roman" w:hAnsi="Times New Roman" w:cs="Times New Roman"/>
        </w:rPr>
      </w:pPr>
      <w:r w:rsidRPr="00F36B06">
        <w:rPr>
          <w:rFonts w:ascii="Times New Roman" w:hAnsi="Times New Roman" w:cs="Times New Roman"/>
        </w:rPr>
        <w:t>Iespējams</w:t>
      </w:r>
      <w:r w:rsidR="00B44FEF" w:rsidRPr="00F36B06">
        <w:rPr>
          <w:rFonts w:ascii="Times New Roman" w:hAnsi="Times New Roman" w:cs="Times New Roman"/>
        </w:rPr>
        <w:t>,</w:t>
      </w:r>
      <w:r w:rsidRPr="00F36B06">
        <w:rPr>
          <w:rFonts w:ascii="Times New Roman" w:hAnsi="Times New Roman" w:cs="Times New Roman"/>
        </w:rPr>
        <w:t xml:space="preserve"> ir jāuzsāk diskusija par </w:t>
      </w:r>
      <w:r w:rsidR="00A31B1E" w:rsidRPr="00F36B06">
        <w:rPr>
          <w:rFonts w:ascii="Times New Roman" w:hAnsi="Times New Roman" w:cs="Times New Roman"/>
        </w:rPr>
        <w:t>prasīb</w:t>
      </w:r>
      <w:r w:rsidR="006035E8" w:rsidRPr="00F36B06">
        <w:rPr>
          <w:rFonts w:ascii="Times New Roman" w:hAnsi="Times New Roman" w:cs="Times New Roman"/>
        </w:rPr>
        <w:t xml:space="preserve">u pēc </w:t>
      </w:r>
      <w:r w:rsidR="00A31B1E" w:rsidRPr="00F36B06">
        <w:rPr>
          <w:rFonts w:ascii="Times New Roman" w:hAnsi="Times New Roman" w:cs="Times New Roman"/>
        </w:rPr>
        <w:t xml:space="preserve">valdes locekļu </w:t>
      </w:r>
      <w:r w:rsidR="006035E8" w:rsidRPr="00F36B06">
        <w:rPr>
          <w:rFonts w:ascii="Times New Roman" w:hAnsi="Times New Roman" w:cs="Times New Roman"/>
        </w:rPr>
        <w:t>obligātā</w:t>
      </w:r>
      <w:r w:rsidR="00670B71" w:rsidRPr="00F36B06">
        <w:rPr>
          <w:rFonts w:ascii="Times New Roman" w:hAnsi="Times New Roman" w:cs="Times New Roman"/>
        </w:rPr>
        <w:t xml:space="preserve">s </w:t>
      </w:r>
      <w:r w:rsidR="00A31B1E" w:rsidRPr="00F36B06">
        <w:rPr>
          <w:rFonts w:ascii="Times New Roman" w:hAnsi="Times New Roman" w:cs="Times New Roman"/>
        </w:rPr>
        <w:t>civiltiesisk</w:t>
      </w:r>
      <w:r w:rsidR="00670B71" w:rsidRPr="00F36B06">
        <w:rPr>
          <w:rFonts w:ascii="Times New Roman" w:hAnsi="Times New Roman" w:cs="Times New Roman"/>
        </w:rPr>
        <w:t>ās</w:t>
      </w:r>
      <w:r w:rsidR="00A31B1E" w:rsidRPr="00F36B06">
        <w:rPr>
          <w:rFonts w:ascii="Times New Roman" w:hAnsi="Times New Roman" w:cs="Times New Roman"/>
        </w:rPr>
        <w:t xml:space="preserve"> atbildīb</w:t>
      </w:r>
      <w:r w:rsidR="00670B71" w:rsidRPr="00F36B06">
        <w:rPr>
          <w:rFonts w:ascii="Times New Roman" w:hAnsi="Times New Roman" w:cs="Times New Roman"/>
        </w:rPr>
        <w:t>as apdrošināšanas.</w:t>
      </w:r>
      <w:r w:rsidR="00E50D34" w:rsidRPr="00F36B06">
        <w:rPr>
          <w:rFonts w:ascii="Times New Roman" w:hAnsi="Times New Roman" w:cs="Times New Roman"/>
        </w:rPr>
        <w:t xml:space="preserve"> </w:t>
      </w:r>
      <w:r w:rsidR="00137242" w:rsidRPr="00F36B06">
        <w:rPr>
          <w:rFonts w:ascii="Times New Roman" w:hAnsi="Times New Roman" w:cs="Times New Roman"/>
        </w:rPr>
        <w:t xml:space="preserve">Obligātā </w:t>
      </w:r>
      <w:r w:rsidR="001C3ADF" w:rsidRPr="00F36B06">
        <w:rPr>
          <w:rFonts w:ascii="Times New Roman" w:hAnsi="Times New Roman" w:cs="Times New Roman"/>
        </w:rPr>
        <w:t>c</w:t>
      </w:r>
      <w:r w:rsidR="000841CA" w:rsidRPr="00F36B06">
        <w:rPr>
          <w:rFonts w:ascii="Times New Roman" w:hAnsi="Times New Roman" w:cs="Times New Roman"/>
        </w:rPr>
        <w:t>iviltiesiskās atbildības apdrošināšana ir izplatīts risinājums gan juridisko profesiju pārstāvjiem</w:t>
      </w:r>
      <w:r w:rsidR="00C3777F" w:rsidRPr="00F36B06">
        <w:rPr>
          <w:rFonts w:ascii="Times New Roman" w:hAnsi="Times New Roman" w:cs="Times New Roman"/>
        </w:rPr>
        <w:t xml:space="preserve"> – zvērinātiem tiesu izpildītājiem</w:t>
      </w:r>
      <w:r w:rsidR="009D706D" w:rsidRPr="00F36B06">
        <w:rPr>
          <w:rStyle w:val="FootnoteReference"/>
          <w:rFonts w:ascii="Times New Roman" w:hAnsi="Times New Roman" w:cs="Times New Roman"/>
        </w:rPr>
        <w:footnoteReference w:id="50"/>
      </w:r>
      <w:r w:rsidR="00C3777F" w:rsidRPr="00F36B06">
        <w:rPr>
          <w:rFonts w:ascii="Times New Roman" w:hAnsi="Times New Roman" w:cs="Times New Roman"/>
        </w:rPr>
        <w:t xml:space="preserve">, </w:t>
      </w:r>
      <w:r w:rsidR="009D11E9" w:rsidRPr="00F36B06">
        <w:rPr>
          <w:rFonts w:ascii="Times New Roman" w:hAnsi="Times New Roman" w:cs="Times New Roman"/>
        </w:rPr>
        <w:t xml:space="preserve">zvērinātiem </w:t>
      </w:r>
      <w:r w:rsidR="00C3777F" w:rsidRPr="00F36B06">
        <w:rPr>
          <w:rFonts w:ascii="Times New Roman" w:hAnsi="Times New Roman" w:cs="Times New Roman"/>
        </w:rPr>
        <w:t>notāriem</w:t>
      </w:r>
      <w:r w:rsidR="009D706D" w:rsidRPr="00F36B06">
        <w:rPr>
          <w:rStyle w:val="FootnoteReference"/>
          <w:rFonts w:ascii="Times New Roman" w:hAnsi="Times New Roman" w:cs="Times New Roman"/>
        </w:rPr>
        <w:footnoteReference w:id="51"/>
      </w:r>
      <w:r w:rsidR="009D11E9" w:rsidRPr="00F36B06">
        <w:rPr>
          <w:rFonts w:ascii="Times New Roman" w:hAnsi="Times New Roman" w:cs="Times New Roman"/>
        </w:rPr>
        <w:t xml:space="preserve">, </w:t>
      </w:r>
      <w:r w:rsidR="009D11E9" w:rsidRPr="00F36B06">
        <w:rPr>
          <w:rFonts w:ascii="Times New Roman" w:hAnsi="Times New Roman" w:cs="Times New Roman"/>
        </w:rPr>
        <w:lastRenderedPageBreak/>
        <w:t>zvērinātiem advokātiem</w:t>
      </w:r>
      <w:r w:rsidR="00F13BBC" w:rsidRPr="00F36B06">
        <w:rPr>
          <w:rStyle w:val="FootnoteReference"/>
          <w:rFonts w:ascii="Times New Roman" w:hAnsi="Times New Roman" w:cs="Times New Roman"/>
        </w:rPr>
        <w:footnoteReference w:id="52"/>
      </w:r>
      <w:r w:rsidR="00C3777F" w:rsidRPr="00F36B06">
        <w:rPr>
          <w:rFonts w:ascii="Times New Roman" w:hAnsi="Times New Roman" w:cs="Times New Roman"/>
        </w:rPr>
        <w:t>,</w:t>
      </w:r>
      <w:r w:rsidR="000841CA" w:rsidRPr="00F36B06">
        <w:rPr>
          <w:rFonts w:ascii="Times New Roman" w:hAnsi="Times New Roman" w:cs="Times New Roman"/>
        </w:rPr>
        <w:t xml:space="preserve"> </w:t>
      </w:r>
      <w:r w:rsidR="008B0A3F" w:rsidRPr="00F36B06">
        <w:rPr>
          <w:rFonts w:ascii="Times New Roman" w:hAnsi="Times New Roman" w:cs="Times New Roman"/>
        </w:rPr>
        <w:t>kā arī administrator</w:t>
      </w:r>
      <w:r w:rsidR="00FF6A6F" w:rsidRPr="00F36B06">
        <w:rPr>
          <w:rFonts w:ascii="Times New Roman" w:hAnsi="Times New Roman" w:cs="Times New Roman"/>
        </w:rPr>
        <w:t>iem</w:t>
      </w:r>
      <w:r w:rsidR="00CA0D85" w:rsidRPr="00F36B06">
        <w:rPr>
          <w:rStyle w:val="FootnoteReference"/>
          <w:rFonts w:ascii="Times New Roman" w:hAnsi="Times New Roman" w:cs="Times New Roman"/>
        </w:rPr>
        <w:footnoteReference w:id="53"/>
      </w:r>
      <w:r w:rsidR="00C52314" w:rsidRPr="00F36B06">
        <w:rPr>
          <w:rFonts w:ascii="Times New Roman" w:hAnsi="Times New Roman" w:cs="Times New Roman"/>
        </w:rPr>
        <w:t xml:space="preserve">, </w:t>
      </w:r>
      <w:r w:rsidR="000841CA" w:rsidRPr="00F36B06">
        <w:rPr>
          <w:rFonts w:ascii="Times New Roman" w:hAnsi="Times New Roman" w:cs="Times New Roman"/>
        </w:rPr>
        <w:t xml:space="preserve">gan </w:t>
      </w:r>
      <w:r w:rsidR="00137242" w:rsidRPr="00F36B06">
        <w:rPr>
          <w:rFonts w:ascii="Times New Roman" w:hAnsi="Times New Roman" w:cs="Times New Roman"/>
        </w:rPr>
        <w:t>privātpersonām, kas veic</w:t>
      </w:r>
      <w:r w:rsidR="001C3ADF" w:rsidRPr="00F36B06">
        <w:rPr>
          <w:rFonts w:ascii="Times New Roman" w:hAnsi="Times New Roman" w:cs="Times New Roman"/>
        </w:rPr>
        <w:t xml:space="preserve"> </w:t>
      </w:r>
      <w:r w:rsidR="00137242" w:rsidRPr="00F36B06">
        <w:rPr>
          <w:rFonts w:ascii="Times New Roman" w:hAnsi="Times New Roman" w:cs="Times New Roman"/>
        </w:rPr>
        <w:t>noteikt</w:t>
      </w:r>
      <w:r w:rsidR="004D6817" w:rsidRPr="00F36B06">
        <w:rPr>
          <w:rFonts w:ascii="Times New Roman" w:hAnsi="Times New Roman" w:cs="Times New Roman"/>
        </w:rPr>
        <w:t>a</w:t>
      </w:r>
      <w:r w:rsidR="00137242" w:rsidRPr="00F36B06">
        <w:rPr>
          <w:rFonts w:ascii="Times New Roman" w:hAnsi="Times New Roman" w:cs="Times New Roman"/>
        </w:rPr>
        <w:t xml:space="preserve"> </w:t>
      </w:r>
      <w:r w:rsidR="001C3ADF" w:rsidRPr="00F36B06">
        <w:rPr>
          <w:rFonts w:ascii="Times New Roman" w:hAnsi="Times New Roman" w:cs="Times New Roman"/>
        </w:rPr>
        <w:t>v</w:t>
      </w:r>
      <w:r w:rsidR="009C46A6" w:rsidRPr="00F36B06">
        <w:rPr>
          <w:rFonts w:ascii="Times New Roman" w:hAnsi="Times New Roman" w:cs="Times New Roman"/>
        </w:rPr>
        <w:t>e</w:t>
      </w:r>
      <w:r w:rsidR="001C3ADF" w:rsidRPr="00F36B06">
        <w:rPr>
          <w:rFonts w:ascii="Times New Roman" w:hAnsi="Times New Roman" w:cs="Times New Roman"/>
        </w:rPr>
        <w:t xml:space="preserve">ida </w:t>
      </w:r>
      <w:r w:rsidR="00893A09" w:rsidRPr="00F36B06">
        <w:rPr>
          <w:rFonts w:ascii="Times New Roman" w:hAnsi="Times New Roman" w:cs="Times New Roman"/>
        </w:rPr>
        <w:t>profesionālo vai</w:t>
      </w:r>
      <w:r w:rsidR="00137242" w:rsidRPr="00F36B06">
        <w:rPr>
          <w:rFonts w:ascii="Times New Roman" w:hAnsi="Times New Roman" w:cs="Times New Roman"/>
        </w:rPr>
        <w:t xml:space="preserve"> saimniecisko darbību</w:t>
      </w:r>
      <w:r w:rsidR="006A0DE6" w:rsidRPr="00F36B06">
        <w:rPr>
          <w:rFonts w:ascii="Times New Roman" w:hAnsi="Times New Roman" w:cs="Times New Roman"/>
        </w:rPr>
        <w:t xml:space="preserve">, piemēram, </w:t>
      </w:r>
      <w:proofErr w:type="spellStart"/>
      <w:r w:rsidR="006A0DE6" w:rsidRPr="00F36B06">
        <w:rPr>
          <w:rFonts w:ascii="Times New Roman" w:hAnsi="Times New Roman" w:cs="Times New Roman"/>
        </w:rPr>
        <w:t>būvspeciālistiem</w:t>
      </w:r>
      <w:proofErr w:type="spellEnd"/>
      <w:r w:rsidR="006A0DE6" w:rsidRPr="00F36B06">
        <w:rPr>
          <w:rStyle w:val="FootnoteReference"/>
          <w:rFonts w:ascii="Times New Roman" w:hAnsi="Times New Roman" w:cs="Times New Roman"/>
        </w:rPr>
        <w:footnoteReference w:id="54"/>
      </w:r>
      <w:r w:rsidR="00806C18" w:rsidRPr="00F36B06">
        <w:rPr>
          <w:rFonts w:ascii="Times New Roman" w:hAnsi="Times New Roman" w:cs="Times New Roman"/>
        </w:rPr>
        <w:t>, gan privātpersonām</w:t>
      </w:r>
      <w:r w:rsidR="001C3ADF" w:rsidRPr="00F36B06">
        <w:rPr>
          <w:rFonts w:ascii="Times New Roman" w:hAnsi="Times New Roman" w:cs="Times New Roman"/>
        </w:rPr>
        <w:t xml:space="preserve">, </w:t>
      </w:r>
      <w:r w:rsidR="00F81267" w:rsidRPr="00F36B06">
        <w:rPr>
          <w:rFonts w:ascii="Times New Roman" w:hAnsi="Times New Roman" w:cs="Times New Roman"/>
        </w:rPr>
        <w:t>kas ne</w:t>
      </w:r>
      <w:r w:rsidR="00BB24BC" w:rsidRPr="00F36B06">
        <w:rPr>
          <w:rFonts w:ascii="Times New Roman" w:hAnsi="Times New Roman" w:cs="Times New Roman"/>
        </w:rPr>
        <w:t xml:space="preserve">veic </w:t>
      </w:r>
      <w:r w:rsidR="001C3ADF" w:rsidRPr="00F36B06">
        <w:rPr>
          <w:rFonts w:ascii="Times New Roman" w:hAnsi="Times New Roman" w:cs="Times New Roman"/>
        </w:rPr>
        <w:t>saimniecisko darbību</w:t>
      </w:r>
      <w:r w:rsidR="00806C18" w:rsidRPr="00F36B06">
        <w:rPr>
          <w:rFonts w:ascii="Times New Roman" w:hAnsi="Times New Roman" w:cs="Times New Roman"/>
        </w:rPr>
        <w:t xml:space="preserve"> – </w:t>
      </w:r>
      <w:r w:rsidR="00844A15" w:rsidRPr="00F36B06">
        <w:rPr>
          <w:rFonts w:ascii="Times New Roman" w:hAnsi="Times New Roman" w:cs="Times New Roman"/>
        </w:rPr>
        <w:t>sauszemes transportlīdzekļu īpašnieku obligātās civiltiesiskās atbildības apdrošināšana</w:t>
      </w:r>
      <w:r w:rsidR="00E50606" w:rsidRPr="00F36B06">
        <w:rPr>
          <w:rStyle w:val="FootnoteReference"/>
          <w:rFonts w:ascii="Times New Roman" w:hAnsi="Times New Roman" w:cs="Times New Roman"/>
        </w:rPr>
        <w:footnoteReference w:id="55"/>
      </w:r>
      <w:r w:rsidR="00BB24BC" w:rsidRPr="00F36B06">
        <w:rPr>
          <w:rFonts w:ascii="Times New Roman" w:hAnsi="Times New Roman" w:cs="Times New Roman"/>
        </w:rPr>
        <w:t xml:space="preserve">. </w:t>
      </w:r>
    </w:p>
    <w:p w14:paraId="7822FF53" w14:textId="35D5FE49" w:rsidR="00674408" w:rsidRPr="00F36B06" w:rsidRDefault="00B12D03" w:rsidP="00102208">
      <w:pPr>
        <w:spacing w:after="0" w:line="240" w:lineRule="auto"/>
        <w:ind w:firstLine="720"/>
        <w:jc w:val="both"/>
        <w:rPr>
          <w:rFonts w:ascii="Times New Roman" w:hAnsi="Times New Roman" w:cs="Times New Roman"/>
        </w:rPr>
      </w:pPr>
      <w:r w:rsidRPr="00F36B06">
        <w:rPr>
          <w:rFonts w:ascii="Times New Roman" w:hAnsi="Times New Roman" w:cs="Times New Roman"/>
        </w:rPr>
        <w:t>Valdes locekļu civiltiesiskās atbildības apdrošināšana jau šobrīd</w:t>
      </w:r>
      <w:r w:rsidR="00FA670E" w:rsidRPr="00F36B06">
        <w:rPr>
          <w:rFonts w:ascii="Times New Roman" w:hAnsi="Times New Roman" w:cs="Times New Roman"/>
        </w:rPr>
        <w:t xml:space="preserve"> ir pieejama kā pakalpojum</w:t>
      </w:r>
      <w:r w:rsidR="005C6F3A" w:rsidRPr="00F36B06">
        <w:rPr>
          <w:rFonts w:ascii="Times New Roman" w:hAnsi="Times New Roman" w:cs="Times New Roman"/>
        </w:rPr>
        <w:t>s</w:t>
      </w:r>
      <w:r w:rsidR="00FA670E" w:rsidRPr="00F36B06">
        <w:rPr>
          <w:rFonts w:ascii="Times New Roman" w:hAnsi="Times New Roman" w:cs="Times New Roman"/>
        </w:rPr>
        <w:t xml:space="preserve"> apdrošināšanas pakalpojumu klāstā</w:t>
      </w:r>
      <w:r w:rsidR="00BD2EA4" w:rsidRPr="00F36B06">
        <w:rPr>
          <w:rFonts w:ascii="Times New Roman" w:hAnsi="Times New Roman" w:cs="Times New Roman"/>
        </w:rPr>
        <w:t xml:space="preserve">. Apdrošināšanas </w:t>
      </w:r>
      <w:r w:rsidR="005C6F3A" w:rsidRPr="00F36B06">
        <w:rPr>
          <w:rFonts w:ascii="Times New Roman" w:hAnsi="Times New Roman" w:cs="Times New Roman"/>
        </w:rPr>
        <w:t>kompānijas piedāvā apdrošināt</w:t>
      </w:r>
      <w:r w:rsidR="00BD2EA4" w:rsidRPr="00F36B06">
        <w:rPr>
          <w:rFonts w:ascii="Times New Roman" w:hAnsi="Times New Roman" w:cs="Times New Roman"/>
        </w:rPr>
        <w:t xml:space="preserve"> faktiskas vai iespējamas kļūdas, </w:t>
      </w:r>
      <w:r w:rsidR="00322848" w:rsidRPr="00F36B06">
        <w:rPr>
          <w:rFonts w:ascii="Times New Roman" w:hAnsi="Times New Roman" w:cs="Times New Roman"/>
        </w:rPr>
        <w:t xml:space="preserve">tostarp </w:t>
      </w:r>
      <w:r w:rsidR="00BD2EA4" w:rsidRPr="00F36B06">
        <w:rPr>
          <w:rFonts w:ascii="Times New Roman" w:hAnsi="Times New Roman" w:cs="Times New Roman"/>
        </w:rPr>
        <w:t>nolaidība, bezdarbība, nepareizi vai maldīgi lēmumi, saistību nepildīšanas rezultātā radušies finansiāli zaudējumi</w:t>
      </w:r>
      <w:r w:rsidR="002F685E" w:rsidRPr="00F36B06">
        <w:rPr>
          <w:rFonts w:ascii="Times New Roman" w:hAnsi="Times New Roman" w:cs="Times New Roman"/>
        </w:rPr>
        <w:t>.</w:t>
      </w:r>
      <w:r w:rsidR="00B03F76" w:rsidRPr="00F36B06">
        <w:rPr>
          <w:rFonts w:ascii="Times New Roman" w:hAnsi="Times New Roman" w:cs="Times New Roman"/>
        </w:rPr>
        <w:t xml:space="preserve"> </w:t>
      </w:r>
      <w:r w:rsidR="00EF7680" w:rsidRPr="00F36B06">
        <w:rPr>
          <w:rFonts w:ascii="Times New Roman" w:hAnsi="Times New Roman" w:cs="Times New Roman"/>
        </w:rPr>
        <w:t>Nepašaubāmi, p</w:t>
      </w:r>
      <w:r w:rsidR="00B03F76" w:rsidRPr="00F36B06">
        <w:rPr>
          <w:rFonts w:ascii="Times New Roman" w:hAnsi="Times New Roman" w:cs="Times New Roman"/>
        </w:rPr>
        <w:t xml:space="preserve">rimāri </w:t>
      </w:r>
      <w:r w:rsidR="004B67FA" w:rsidRPr="00F36B06">
        <w:rPr>
          <w:rFonts w:ascii="Times New Roman" w:hAnsi="Times New Roman" w:cs="Times New Roman"/>
        </w:rPr>
        <w:t>valdes locekļu</w:t>
      </w:r>
      <w:r w:rsidR="00B03F76" w:rsidRPr="00F36B06">
        <w:rPr>
          <w:rFonts w:ascii="Times New Roman" w:hAnsi="Times New Roman" w:cs="Times New Roman"/>
        </w:rPr>
        <w:t xml:space="preserve"> civiltiesiskās atbildības apdrošināšana ir apdrošināšanas segums, kas paredzēts, lai aizsargātu indivīdus no personīgiem zaudējumiem, ja pret viņiem tiek celta prasība saistībā ar viņu darbību kā uzņēmuma amatpersonai</w:t>
      </w:r>
      <w:r w:rsidR="00815A7F" w:rsidRPr="00F36B06">
        <w:rPr>
          <w:rFonts w:ascii="Times New Roman" w:hAnsi="Times New Roman" w:cs="Times New Roman"/>
        </w:rPr>
        <w:t xml:space="preserve">, tomēr pastarpināti tā sniegtu </w:t>
      </w:r>
      <w:r w:rsidR="00395219" w:rsidRPr="00F36B06">
        <w:rPr>
          <w:rFonts w:ascii="Times New Roman" w:hAnsi="Times New Roman" w:cs="Times New Roman"/>
        </w:rPr>
        <w:t>lielākas garantijas arī sabiedrības kreditoriem</w:t>
      </w:r>
      <w:r w:rsidR="00F04AB8" w:rsidRPr="00F36B06">
        <w:rPr>
          <w:rFonts w:ascii="Times New Roman" w:hAnsi="Times New Roman" w:cs="Times New Roman"/>
        </w:rPr>
        <w:t>.</w:t>
      </w:r>
      <w:r w:rsidR="002F685E" w:rsidRPr="00F36B06">
        <w:rPr>
          <w:rFonts w:ascii="Times New Roman" w:hAnsi="Times New Roman" w:cs="Times New Roman"/>
        </w:rPr>
        <w:t xml:space="preserve"> </w:t>
      </w:r>
    </w:p>
    <w:p w14:paraId="61838511" w14:textId="22A4A5BD" w:rsidR="005470C2" w:rsidRPr="00F36B06" w:rsidRDefault="007175D5" w:rsidP="00102208">
      <w:pPr>
        <w:spacing w:after="0" w:line="240" w:lineRule="auto"/>
        <w:ind w:firstLine="720"/>
        <w:jc w:val="both"/>
        <w:rPr>
          <w:rFonts w:ascii="Times New Roman" w:hAnsi="Times New Roman" w:cs="Times New Roman"/>
        </w:rPr>
      </w:pPr>
      <w:r w:rsidRPr="00F36B06">
        <w:rPr>
          <w:rFonts w:ascii="Times New Roman" w:hAnsi="Times New Roman" w:cs="Times New Roman"/>
        </w:rPr>
        <w:t>Obligātā v</w:t>
      </w:r>
      <w:r w:rsidR="000F3210" w:rsidRPr="00F36B06">
        <w:rPr>
          <w:rFonts w:ascii="Times New Roman" w:hAnsi="Times New Roman" w:cs="Times New Roman"/>
        </w:rPr>
        <w:t>aldes locekļu civiltiesiskā apdrošināšana</w:t>
      </w:r>
      <w:r w:rsidR="00B04AF6" w:rsidRPr="00F36B06">
        <w:rPr>
          <w:rFonts w:ascii="Times New Roman" w:hAnsi="Times New Roman" w:cs="Times New Roman"/>
        </w:rPr>
        <w:t xml:space="preserve"> nav izplatīts risinājums </w:t>
      </w:r>
      <w:r w:rsidR="009A092D" w:rsidRPr="00F36B06">
        <w:rPr>
          <w:rFonts w:ascii="Times New Roman" w:hAnsi="Times New Roman" w:cs="Times New Roman"/>
        </w:rPr>
        <w:t>pasaules valstu tiesiskajā regulējumā</w:t>
      </w:r>
      <w:r w:rsidR="00DF45F7" w:rsidRPr="00F36B06">
        <w:rPr>
          <w:rFonts w:ascii="Times New Roman" w:hAnsi="Times New Roman" w:cs="Times New Roman"/>
        </w:rPr>
        <w:t xml:space="preserve"> – vienīgais </w:t>
      </w:r>
      <w:r w:rsidR="00153DD1" w:rsidRPr="00F36B06">
        <w:rPr>
          <w:rFonts w:ascii="Times New Roman" w:hAnsi="Times New Roman" w:cs="Times New Roman"/>
        </w:rPr>
        <w:t>gadījums Eiropas pieredzē ir Rumānija</w:t>
      </w:r>
      <w:r w:rsidR="00153DD1" w:rsidRPr="00F36B06">
        <w:rPr>
          <w:rStyle w:val="FootnoteReference"/>
          <w:rFonts w:ascii="Times New Roman" w:hAnsi="Times New Roman" w:cs="Times New Roman"/>
        </w:rPr>
        <w:footnoteReference w:id="56"/>
      </w:r>
      <w:r w:rsidR="00701168" w:rsidRPr="00F36B06">
        <w:rPr>
          <w:rFonts w:ascii="Times New Roman" w:hAnsi="Times New Roman" w:cs="Times New Roman"/>
        </w:rPr>
        <w:t xml:space="preserve">, kur valdes locekļu un direktoru </w:t>
      </w:r>
      <w:r w:rsidR="007547BF" w:rsidRPr="00F36B06">
        <w:rPr>
          <w:rFonts w:ascii="Times New Roman" w:hAnsi="Times New Roman" w:cs="Times New Roman"/>
        </w:rPr>
        <w:t xml:space="preserve">civiltiesiskā </w:t>
      </w:r>
      <w:r w:rsidR="00777C6B" w:rsidRPr="00F36B06">
        <w:rPr>
          <w:rFonts w:ascii="Times New Roman" w:hAnsi="Times New Roman" w:cs="Times New Roman"/>
        </w:rPr>
        <w:t>atbildība</w:t>
      </w:r>
      <w:r w:rsidR="007547BF" w:rsidRPr="00F36B06">
        <w:rPr>
          <w:rFonts w:ascii="Times New Roman" w:hAnsi="Times New Roman" w:cs="Times New Roman"/>
        </w:rPr>
        <w:t xml:space="preserve"> </w:t>
      </w:r>
      <w:r w:rsidR="008A3079" w:rsidRPr="00F36B06">
        <w:rPr>
          <w:rFonts w:ascii="Times New Roman" w:hAnsi="Times New Roman" w:cs="Times New Roman"/>
        </w:rPr>
        <w:t>obligāti</w:t>
      </w:r>
      <w:r w:rsidR="00777C6B" w:rsidRPr="00F36B06">
        <w:rPr>
          <w:rFonts w:ascii="Times New Roman" w:hAnsi="Times New Roman" w:cs="Times New Roman"/>
        </w:rPr>
        <w:t xml:space="preserve"> </w:t>
      </w:r>
      <w:r w:rsidR="007547BF" w:rsidRPr="00F36B06">
        <w:rPr>
          <w:rFonts w:ascii="Times New Roman" w:hAnsi="Times New Roman" w:cs="Times New Roman"/>
        </w:rPr>
        <w:t>ir apdrošināma no 2007</w:t>
      </w:r>
      <w:r w:rsidR="008A3079" w:rsidRPr="00F36B06">
        <w:rPr>
          <w:rFonts w:ascii="Times New Roman" w:hAnsi="Times New Roman" w:cs="Times New Roman"/>
        </w:rPr>
        <w:t>.</w:t>
      </w:r>
      <w:r w:rsidR="00D1261B" w:rsidRPr="00F36B06">
        <w:rPr>
          <w:rFonts w:ascii="Times New Roman" w:hAnsi="Times New Roman" w:cs="Times New Roman"/>
        </w:rPr>
        <w:t> g</w:t>
      </w:r>
      <w:r w:rsidR="008A3079" w:rsidRPr="00F36B06">
        <w:rPr>
          <w:rFonts w:ascii="Times New Roman" w:hAnsi="Times New Roman" w:cs="Times New Roman"/>
        </w:rPr>
        <w:t>ada</w:t>
      </w:r>
      <w:r w:rsidR="00DA307B" w:rsidRPr="00F36B06">
        <w:rPr>
          <w:rFonts w:ascii="Times New Roman" w:hAnsi="Times New Roman" w:cs="Times New Roman"/>
        </w:rPr>
        <w:t xml:space="preserve">, </w:t>
      </w:r>
      <w:r w:rsidR="006B1121" w:rsidRPr="00F36B06">
        <w:rPr>
          <w:rFonts w:ascii="Times New Roman" w:hAnsi="Times New Roman" w:cs="Times New Roman"/>
        </w:rPr>
        <w:t>tur</w:t>
      </w:r>
      <w:r w:rsidR="008E1D86" w:rsidRPr="00F36B06">
        <w:rPr>
          <w:rFonts w:ascii="Times New Roman" w:hAnsi="Times New Roman" w:cs="Times New Roman"/>
        </w:rPr>
        <w:t xml:space="preserve">klāt </w:t>
      </w:r>
      <w:r w:rsidR="0046279D" w:rsidRPr="00F36B06">
        <w:rPr>
          <w:rFonts w:ascii="Times New Roman" w:hAnsi="Times New Roman" w:cs="Times New Roman"/>
        </w:rPr>
        <w:t xml:space="preserve">atbildība </w:t>
      </w:r>
      <w:r w:rsidR="00E65F5E" w:rsidRPr="00F36B06">
        <w:rPr>
          <w:rFonts w:ascii="Times New Roman" w:hAnsi="Times New Roman" w:cs="Times New Roman"/>
        </w:rPr>
        <w:t>ir apdrošināma tikai akciju sabiedrību gadījumā</w:t>
      </w:r>
      <w:r w:rsidR="00FA19DA" w:rsidRPr="00F36B06">
        <w:rPr>
          <w:rStyle w:val="FootnoteReference"/>
          <w:rFonts w:ascii="Times New Roman" w:hAnsi="Times New Roman" w:cs="Times New Roman"/>
        </w:rPr>
        <w:footnoteReference w:id="57"/>
      </w:r>
      <w:r w:rsidR="00FA19DA" w:rsidRPr="00F36B06">
        <w:rPr>
          <w:rFonts w:ascii="Times New Roman" w:hAnsi="Times New Roman" w:cs="Times New Roman"/>
        </w:rPr>
        <w:t>.</w:t>
      </w:r>
    </w:p>
    <w:p w14:paraId="06705934" w14:textId="2A4E7313" w:rsidR="000D17BF" w:rsidRPr="00F36B06" w:rsidRDefault="00EA7595" w:rsidP="000D17BF">
      <w:pPr>
        <w:spacing w:after="0" w:line="240" w:lineRule="auto"/>
        <w:ind w:firstLine="720"/>
        <w:jc w:val="both"/>
        <w:rPr>
          <w:rFonts w:ascii="Times New Roman" w:hAnsi="Times New Roman" w:cs="Times New Roman"/>
        </w:rPr>
      </w:pPr>
      <w:r w:rsidRPr="00F36B06">
        <w:rPr>
          <w:rFonts w:ascii="Times New Roman" w:hAnsi="Times New Roman" w:cs="Times New Roman"/>
        </w:rPr>
        <w:t>Starptautiskajā praksē</w:t>
      </w:r>
      <w:r w:rsidR="000D17BF" w:rsidRPr="00F36B06">
        <w:rPr>
          <w:rFonts w:ascii="Times New Roman" w:hAnsi="Times New Roman" w:cs="Times New Roman"/>
        </w:rPr>
        <w:t xml:space="preserve"> nozīmīgu lomu uzņēmējdarbības vides sakārtošanā spēlē arī valdes locekļu diskvalifikācijas institūts, kas ir plaši atzīts instruments ārvalstu tiesību sistēmās. Diskvalifikācija nodrošina to, ka negodprātīgi, bezatbildīgi vai krāpnieciski rīkojušies valdes locekļi zaudē tiesības ieņemt amatus citos uzņēmumos uz noteiktu laiku, tādējādi novēršot riskus, ka šāda persona turpinās kaitēt citiem tirgus dalībniekiem. Diskvalifikācija darbojas gan kā sankcija, gan kā preventīvs līdzeklis.</w:t>
      </w:r>
    </w:p>
    <w:p w14:paraId="47BEC4BC" w14:textId="6431DB63" w:rsidR="00600751" w:rsidRPr="00F36B06" w:rsidRDefault="00841E24" w:rsidP="00822732">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Diskvalifikācijas būtība ir juridisks aizliegums ieņemt valdes locekļa vai cita uzņēmuma vadības amatu noteiktu laiku, parasti pēc tiesas nolēmuma, konstatējot rupjus pienākumu pārkāpumus, nolaidību, </w:t>
      </w:r>
      <w:proofErr w:type="spellStart"/>
      <w:r w:rsidRPr="00F36B06">
        <w:rPr>
          <w:rFonts w:ascii="Times New Roman" w:hAnsi="Times New Roman" w:cs="Times New Roman"/>
        </w:rPr>
        <w:t>krāpniecību</w:t>
      </w:r>
      <w:proofErr w:type="spellEnd"/>
      <w:r w:rsidRPr="00F36B06">
        <w:rPr>
          <w:rFonts w:ascii="Times New Roman" w:hAnsi="Times New Roman" w:cs="Times New Roman"/>
        </w:rPr>
        <w:t xml:space="preserve"> vai uzņēmuma interešu apzinātu ignorēšanu. Šāda prakse ir izplatīta daudzās valstīs un tiek atzīta par efektīvu līdzekli negodprātīgu uzņēmējdarbības prakšu ierobežošanā.</w:t>
      </w:r>
      <w:r w:rsidR="00A27854" w:rsidRPr="00F36B06">
        <w:rPr>
          <w:rFonts w:ascii="Times New Roman" w:hAnsi="Times New Roman" w:cs="Times New Roman"/>
        </w:rPr>
        <w:t xml:space="preserve"> </w:t>
      </w:r>
      <w:r w:rsidR="000D17BF" w:rsidRPr="00F36B06">
        <w:rPr>
          <w:rFonts w:ascii="Times New Roman" w:hAnsi="Times New Roman" w:cs="Times New Roman"/>
        </w:rPr>
        <w:t>Ārvalstu pieredze liecina, ka diskvalifikācijas piemērošana ir efektīvs veids, kā aizsargāt sabiedrības un kreditoru intereses. Diskvalifikācija tiek plaši izmantota, piemēram, Apvienotajā Karalistē</w:t>
      </w:r>
      <w:r w:rsidR="00584102" w:rsidRPr="00F36B06">
        <w:rPr>
          <w:rStyle w:val="FootnoteReference"/>
          <w:rFonts w:ascii="Times New Roman" w:hAnsi="Times New Roman" w:cs="Times New Roman"/>
        </w:rPr>
        <w:footnoteReference w:id="58"/>
      </w:r>
      <w:r w:rsidR="000D17BF" w:rsidRPr="00F36B06">
        <w:rPr>
          <w:rFonts w:ascii="Times New Roman" w:hAnsi="Times New Roman" w:cs="Times New Roman"/>
        </w:rPr>
        <w:t>, kur tā tiek piemērota saskaņā ar Likumu par uzņēmumu direktoru diskvalifikāciju, kā arī Vācijā</w:t>
      </w:r>
      <w:r w:rsidR="001F495B" w:rsidRPr="00F36B06">
        <w:rPr>
          <w:rStyle w:val="FootnoteReference"/>
          <w:rFonts w:ascii="Times New Roman" w:hAnsi="Times New Roman" w:cs="Times New Roman"/>
        </w:rPr>
        <w:footnoteReference w:id="59"/>
      </w:r>
      <w:r w:rsidR="000D17BF" w:rsidRPr="00F36B06">
        <w:rPr>
          <w:rFonts w:ascii="Times New Roman" w:hAnsi="Times New Roman" w:cs="Times New Roman"/>
        </w:rPr>
        <w:t>, Austrālijā</w:t>
      </w:r>
      <w:r w:rsidR="00044135" w:rsidRPr="00F36B06">
        <w:rPr>
          <w:rStyle w:val="FootnoteReference"/>
          <w:rFonts w:ascii="Times New Roman" w:hAnsi="Times New Roman" w:cs="Times New Roman"/>
        </w:rPr>
        <w:footnoteReference w:id="60"/>
      </w:r>
      <w:r w:rsidR="000D17BF" w:rsidRPr="00F36B06">
        <w:rPr>
          <w:rFonts w:ascii="Times New Roman" w:hAnsi="Times New Roman" w:cs="Times New Roman"/>
        </w:rPr>
        <w:t>, ASV</w:t>
      </w:r>
      <w:r w:rsidR="00135D55" w:rsidRPr="00F36B06">
        <w:rPr>
          <w:rStyle w:val="FootnoteReference"/>
          <w:rFonts w:ascii="Times New Roman" w:hAnsi="Times New Roman" w:cs="Times New Roman"/>
        </w:rPr>
        <w:footnoteReference w:id="61"/>
      </w:r>
      <w:r w:rsidR="000D17BF" w:rsidRPr="00F36B06">
        <w:rPr>
          <w:rFonts w:ascii="Times New Roman" w:hAnsi="Times New Roman" w:cs="Times New Roman"/>
        </w:rPr>
        <w:t xml:space="preserve"> un citās jurisdikcijās. Diskvalifikācijas iespēja motivē valdes locekļus rūpīgi izvērtēt savas darbības, jo negodprātīga rīcība var izslēgt viņus no uzņēmējdarbības vides uz vairākiem gadiem.</w:t>
      </w:r>
    </w:p>
    <w:p w14:paraId="35C410EF" w14:textId="3207F1BA" w:rsidR="00E941AF" w:rsidRPr="00F36B06" w:rsidRDefault="004D7FF7" w:rsidP="00E941AF">
      <w:pPr>
        <w:spacing w:after="0" w:line="240" w:lineRule="auto"/>
        <w:ind w:firstLine="720"/>
        <w:jc w:val="both"/>
        <w:rPr>
          <w:rFonts w:ascii="Times New Roman" w:hAnsi="Times New Roman" w:cs="Times New Roman"/>
        </w:rPr>
      </w:pPr>
      <w:r w:rsidRPr="00F36B06">
        <w:rPr>
          <w:rFonts w:ascii="Times New Roman" w:hAnsi="Times New Roman" w:cs="Times New Roman"/>
        </w:rPr>
        <w:t>Būtiski atzīmēt, ka Apvienotajā Karalistē</w:t>
      </w:r>
      <w:r w:rsidR="00342507" w:rsidRPr="00F36B06">
        <w:rPr>
          <w:rFonts w:ascii="Times New Roman" w:hAnsi="Times New Roman" w:cs="Times New Roman"/>
        </w:rPr>
        <w:t xml:space="preserve"> </w:t>
      </w:r>
      <w:r w:rsidR="00E941AF" w:rsidRPr="00F36B06">
        <w:rPr>
          <w:rFonts w:ascii="Times New Roman" w:hAnsi="Times New Roman" w:cs="Times New Roman"/>
        </w:rPr>
        <w:t>pastāv arī tā saucamā brīvprātīga diskvalifikācija</w:t>
      </w:r>
      <w:r w:rsidR="00C834E2" w:rsidRPr="00F36B06">
        <w:rPr>
          <w:rFonts w:ascii="Times New Roman" w:hAnsi="Times New Roman" w:cs="Times New Roman"/>
        </w:rPr>
        <w:t xml:space="preserve"> </w:t>
      </w:r>
      <w:r w:rsidR="00C834E2" w:rsidRPr="00F36B06">
        <w:t>(</w:t>
      </w:r>
      <w:proofErr w:type="spellStart"/>
      <w:r w:rsidR="00C834E2" w:rsidRPr="00F36B06">
        <w:rPr>
          <w:rFonts w:ascii="Times New Roman" w:hAnsi="Times New Roman" w:cs="Times New Roman"/>
          <w:i/>
          <w:iCs/>
        </w:rPr>
        <w:t>disqualification</w:t>
      </w:r>
      <w:proofErr w:type="spellEnd"/>
      <w:r w:rsidR="00C834E2" w:rsidRPr="00F36B06">
        <w:rPr>
          <w:rFonts w:ascii="Times New Roman" w:hAnsi="Times New Roman" w:cs="Times New Roman"/>
          <w:i/>
          <w:iCs/>
        </w:rPr>
        <w:t xml:space="preserve"> </w:t>
      </w:r>
      <w:proofErr w:type="spellStart"/>
      <w:r w:rsidR="00C834E2" w:rsidRPr="00F36B06">
        <w:rPr>
          <w:rFonts w:ascii="Times New Roman" w:hAnsi="Times New Roman" w:cs="Times New Roman"/>
          <w:i/>
          <w:iCs/>
        </w:rPr>
        <w:t>undertaking</w:t>
      </w:r>
      <w:proofErr w:type="spellEnd"/>
      <w:r w:rsidR="00C834E2" w:rsidRPr="00F36B06">
        <w:t>)</w:t>
      </w:r>
      <w:r w:rsidR="00E941AF" w:rsidRPr="00F36B06">
        <w:rPr>
          <w:rFonts w:ascii="Times New Roman" w:hAnsi="Times New Roman" w:cs="Times New Roman"/>
        </w:rPr>
        <w:t xml:space="preserve">, kuru piemēro </w:t>
      </w:r>
      <w:r w:rsidR="00912F87" w:rsidRPr="00F36B06">
        <w:rPr>
          <w:rFonts w:ascii="Times New Roman" w:hAnsi="Times New Roman" w:cs="Times New Roman"/>
        </w:rPr>
        <w:t>Maksātnespējas dienests</w:t>
      </w:r>
      <w:r w:rsidR="007D192D" w:rsidRPr="00F36B06">
        <w:rPr>
          <w:rStyle w:val="FootnoteReference"/>
          <w:rFonts w:ascii="Times New Roman" w:hAnsi="Times New Roman" w:cs="Times New Roman"/>
        </w:rPr>
        <w:footnoteReference w:id="62"/>
      </w:r>
      <w:r w:rsidR="00D96550" w:rsidRPr="00F36B06">
        <w:rPr>
          <w:rFonts w:ascii="Times New Roman" w:hAnsi="Times New Roman" w:cs="Times New Roman"/>
        </w:rPr>
        <w:t xml:space="preserve">, kas ir </w:t>
      </w:r>
      <w:r w:rsidR="00E82455" w:rsidRPr="00F36B06">
        <w:rPr>
          <w:rFonts w:ascii="Times New Roman" w:hAnsi="Times New Roman" w:cs="Times New Roman"/>
        </w:rPr>
        <w:t>valsts aģentūra</w:t>
      </w:r>
      <w:r w:rsidR="00912F87" w:rsidRPr="00F36B06">
        <w:rPr>
          <w:rFonts w:ascii="Times New Roman" w:hAnsi="Times New Roman" w:cs="Times New Roman"/>
        </w:rPr>
        <w:t xml:space="preserve">, </w:t>
      </w:r>
      <w:r w:rsidR="00BC3BD8" w:rsidRPr="00F36B06">
        <w:rPr>
          <w:rFonts w:ascii="Times New Roman" w:hAnsi="Times New Roman" w:cs="Times New Roman"/>
        </w:rPr>
        <w:t>tādējādi neradot papildu slogu tiesai.</w:t>
      </w:r>
      <w:r w:rsidR="003B3279" w:rsidRPr="00F36B06">
        <w:rPr>
          <w:rFonts w:ascii="Times New Roman" w:hAnsi="Times New Roman" w:cs="Times New Roman"/>
        </w:rPr>
        <w:t xml:space="preserve"> Brīvprātīga diskvalifikācija</w:t>
      </w:r>
      <w:r w:rsidR="004C72BB" w:rsidRPr="00F36B06">
        <w:t xml:space="preserve"> </w:t>
      </w:r>
      <w:r w:rsidR="00E941AF" w:rsidRPr="00F36B06">
        <w:rPr>
          <w:rFonts w:ascii="Times New Roman" w:hAnsi="Times New Roman" w:cs="Times New Roman"/>
        </w:rPr>
        <w:t xml:space="preserve">ir rakstiska vienošanās starp </w:t>
      </w:r>
      <w:r w:rsidR="00421738">
        <w:rPr>
          <w:rFonts w:ascii="Times New Roman" w:hAnsi="Times New Roman" w:cs="Times New Roman"/>
        </w:rPr>
        <w:t xml:space="preserve">uzņēmuma </w:t>
      </w:r>
      <w:r w:rsidR="00E941AF" w:rsidRPr="00F36B06">
        <w:rPr>
          <w:rFonts w:ascii="Times New Roman" w:hAnsi="Times New Roman" w:cs="Times New Roman"/>
        </w:rPr>
        <w:t>direktoru</w:t>
      </w:r>
      <w:r w:rsidR="00D96550" w:rsidRPr="00F36B06">
        <w:rPr>
          <w:rFonts w:ascii="Times New Roman" w:hAnsi="Times New Roman" w:cs="Times New Roman"/>
        </w:rPr>
        <w:t xml:space="preserve"> </w:t>
      </w:r>
      <w:r w:rsidR="00E941AF" w:rsidRPr="00F36B06">
        <w:rPr>
          <w:rFonts w:ascii="Times New Roman" w:hAnsi="Times New Roman" w:cs="Times New Roman"/>
        </w:rPr>
        <w:t xml:space="preserve"> un </w:t>
      </w:r>
      <w:r w:rsidR="00D21071" w:rsidRPr="00F36B06">
        <w:rPr>
          <w:rFonts w:ascii="Times New Roman" w:hAnsi="Times New Roman" w:cs="Times New Roman"/>
        </w:rPr>
        <w:t>Maksātnespējas dienestu</w:t>
      </w:r>
      <w:r w:rsidR="00E941AF" w:rsidRPr="00F36B06">
        <w:rPr>
          <w:rFonts w:ascii="Times New Roman" w:hAnsi="Times New Roman" w:cs="Times New Roman"/>
        </w:rPr>
        <w:t xml:space="preserve">, kurā </w:t>
      </w:r>
      <w:r w:rsidR="00421738">
        <w:rPr>
          <w:rFonts w:ascii="Times New Roman" w:hAnsi="Times New Roman" w:cs="Times New Roman"/>
        </w:rPr>
        <w:t xml:space="preserve">uzņēmuma </w:t>
      </w:r>
      <w:r w:rsidR="00E941AF" w:rsidRPr="00F36B06">
        <w:rPr>
          <w:rFonts w:ascii="Times New Roman" w:hAnsi="Times New Roman" w:cs="Times New Roman"/>
        </w:rPr>
        <w:t>direktors piekrīt atteikties no vadības pienākumiem uz noteiktu laiku, izvairoties no tiesas procesa. Šāda</w:t>
      </w:r>
      <w:r w:rsidR="00DD7EC7" w:rsidRPr="00F36B06">
        <w:rPr>
          <w:rFonts w:ascii="Times New Roman" w:hAnsi="Times New Roman" w:cs="Times New Roman"/>
        </w:rPr>
        <w:t>i</w:t>
      </w:r>
      <w:r w:rsidR="00E941AF" w:rsidRPr="00F36B06">
        <w:rPr>
          <w:rFonts w:ascii="Times New Roman" w:hAnsi="Times New Roman" w:cs="Times New Roman"/>
        </w:rPr>
        <w:t xml:space="preserve"> vienošan</w:t>
      </w:r>
      <w:r w:rsidR="00DD7EC7" w:rsidRPr="00F36B06">
        <w:rPr>
          <w:rFonts w:ascii="Times New Roman" w:hAnsi="Times New Roman" w:cs="Times New Roman"/>
        </w:rPr>
        <w:t xml:space="preserve">ai </w:t>
      </w:r>
      <w:r w:rsidR="00E941AF" w:rsidRPr="00F36B06">
        <w:rPr>
          <w:rFonts w:ascii="Times New Roman" w:hAnsi="Times New Roman" w:cs="Times New Roman"/>
        </w:rPr>
        <w:t xml:space="preserve">ir tāds pats </w:t>
      </w:r>
      <w:r w:rsidR="00E941AF" w:rsidRPr="00F36B06">
        <w:rPr>
          <w:rFonts w:ascii="Times New Roman" w:hAnsi="Times New Roman" w:cs="Times New Roman"/>
        </w:rPr>
        <w:lastRenderedPageBreak/>
        <w:t>spēks kā tiesas pieņemtam diskvalifikācijas rīkojumam</w:t>
      </w:r>
      <w:r w:rsidR="00FA6262" w:rsidRPr="00F36B06">
        <w:rPr>
          <w:rFonts w:ascii="Times New Roman" w:hAnsi="Times New Roman" w:cs="Times New Roman"/>
        </w:rPr>
        <w:t xml:space="preserve"> (</w:t>
      </w:r>
      <w:proofErr w:type="spellStart"/>
      <w:r w:rsidR="00FA6262" w:rsidRPr="00F36B06">
        <w:rPr>
          <w:rFonts w:ascii="Times New Roman" w:hAnsi="Times New Roman" w:cs="Times New Roman"/>
          <w:i/>
          <w:iCs/>
        </w:rPr>
        <w:t>disqualification</w:t>
      </w:r>
      <w:proofErr w:type="spellEnd"/>
      <w:r w:rsidR="00FA6262" w:rsidRPr="00F36B06">
        <w:rPr>
          <w:rFonts w:ascii="Times New Roman" w:hAnsi="Times New Roman" w:cs="Times New Roman"/>
          <w:i/>
          <w:iCs/>
        </w:rPr>
        <w:t xml:space="preserve"> </w:t>
      </w:r>
      <w:proofErr w:type="spellStart"/>
      <w:r w:rsidR="00FA6262" w:rsidRPr="00F36B06">
        <w:rPr>
          <w:rFonts w:ascii="Times New Roman" w:hAnsi="Times New Roman" w:cs="Times New Roman"/>
          <w:i/>
          <w:iCs/>
        </w:rPr>
        <w:t>order</w:t>
      </w:r>
      <w:proofErr w:type="spellEnd"/>
      <w:r w:rsidR="00FA6262" w:rsidRPr="00F36B06">
        <w:rPr>
          <w:rFonts w:ascii="Times New Roman" w:hAnsi="Times New Roman" w:cs="Times New Roman"/>
        </w:rPr>
        <w:t>)</w:t>
      </w:r>
      <w:r w:rsidR="00E941AF" w:rsidRPr="00F36B06">
        <w:rPr>
          <w:rFonts w:ascii="Times New Roman" w:hAnsi="Times New Roman" w:cs="Times New Roman"/>
        </w:rPr>
        <w:t xml:space="preserve">. Diskvalifikācijas ilgums var būt līdz 15 gadiem, atkarībā no pārkāpuma smaguma. Sekas diskvalificētai personai ietver aizliegumu būt par direktoru jebkurā Apvienotajā Karalistē reģistrētā uzņēmumā, kā arī aizliegumu piedalīties uzņēmumu veidošanā, vadībā vai reklamēšanā. </w:t>
      </w:r>
      <w:r w:rsidR="00D24C59" w:rsidRPr="00F36B06">
        <w:rPr>
          <w:rFonts w:ascii="Times New Roman" w:hAnsi="Times New Roman" w:cs="Times New Roman"/>
        </w:rPr>
        <w:t>J</w:t>
      </w:r>
      <w:r w:rsidR="00E941AF" w:rsidRPr="00F36B06">
        <w:rPr>
          <w:rFonts w:ascii="Times New Roman" w:hAnsi="Times New Roman" w:cs="Times New Roman"/>
        </w:rPr>
        <w:t>a persona pārkāpj diskvalifikācijas noteikumus, tā var tikt saukta pie kriminālatbildības un kļūt personīgi atbildīga par uzņēmuma saistībām.</w:t>
      </w:r>
      <w:r w:rsidR="008734F2" w:rsidRPr="00F36B06">
        <w:rPr>
          <w:rStyle w:val="FootnoteReference"/>
          <w:rFonts w:ascii="Times New Roman" w:hAnsi="Times New Roman" w:cs="Times New Roman"/>
        </w:rPr>
        <w:footnoteReference w:id="63"/>
      </w:r>
    </w:p>
    <w:p w14:paraId="73D8016E" w14:textId="77777777" w:rsidR="00EB33DA" w:rsidRPr="00F36B06" w:rsidRDefault="005C5895" w:rsidP="00EB33DA">
      <w:pPr>
        <w:spacing w:after="0" w:line="240" w:lineRule="auto"/>
        <w:ind w:firstLine="720"/>
        <w:jc w:val="both"/>
        <w:rPr>
          <w:rFonts w:ascii="Times New Roman" w:hAnsi="Times New Roman" w:cs="Times New Roman"/>
        </w:rPr>
      </w:pPr>
      <w:r w:rsidRPr="00F36B06">
        <w:rPr>
          <w:rFonts w:ascii="Times New Roman" w:hAnsi="Times New Roman" w:cs="Times New Roman"/>
        </w:rPr>
        <w:t>Ņemot vērā starptautisko praksi, valdes locekļu diskvalifikācijas institūta nostiprināšana Latvijas tiesību sistēmā varētu kļūt par būtisku soli, lai uzlabotu uzņēmējdarbības vides drošību un stabilitāti. Diskvalifikācijas piemērošanas efektivitāte lielā mērā balstās uz skaidri noteiktiem pārkāpumu kritērijiem, savlaicīgu tiesas vai uzraudzības iestāžu iejaukšanos, kā arī sabiedrības informētību par šī institūta praktisko nozīmi.</w:t>
      </w:r>
      <w:r w:rsidR="00EB33DA" w:rsidRPr="00F36B06">
        <w:rPr>
          <w:rFonts w:ascii="Times New Roman" w:hAnsi="Times New Roman" w:cs="Times New Roman"/>
        </w:rPr>
        <w:t xml:space="preserve"> </w:t>
      </w:r>
    </w:p>
    <w:p w14:paraId="28F2A95B" w14:textId="4F7FF6C3" w:rsidR="00EB33DA" w:rsidRPr="00F36B06" w:rsidRDefault="00852630" w:rsidP="00EB33DA">
      <w:pPr>
        <w:spacing w:after="0" w:line="240" w:lineRule="auto"/>
        <w:ind w:firstLine="720"/>
        <w:jc w:val="both"/>
        <w:rPr>
          <w:rFonts w:ascii="Times New Roman" w:hAnsi="Times New Roman" w:cs="Times New Roman"/>
        </w:rPr>
      </w:pPr>
      <w:r w:rsidRPr="00F36B06">
        <w:rPr>
          <w:rFonts w:ascii="Times New Roman" w:hAnsi="Times New Roman" w:cs="Times New Roman"/>
        </w:rPr>
        <w:t>Kā</w:t>
      </w:r>
      <w:r w:rsidR="00EB33DA" w:rsidRPr="00F36B06">
        <w:rPr>
          <w:rFonts w:ascii="Times New Roman" w:hAnsi="Times New Roman" w:cs="Times New Roman"/>
        </w:rPr>
        <w:t xml:space="preserve"> instrument</w:t>
      </w:r>
      <w:r w:rsidRPr="00F36B06">
        <w:rPr>
          <w:rFonts w:ascii="Times New Roman" w:hAnsi="Times New Roman" w:cs="Times New Roman"/>
        </w:rPr>
        <w:t>s</w:t>
      </w:r>
      <w:r w:rsidR="00EB33DA" w:rsidRPr="00F36B06">
        <w:rPr>
          <w:rFonts w:ascii="Times New Roman" w:hAnsi="Times New Roman" w:cs="Times New Roman"/>
        </w:rPr>
        <w:t>, kas ļauj cīnīties ar mantas slēpšanu, kas veikta nolūkā izvairīties no atbildības tiesībpārkāpuma gadījumā, var minēt Kriminālprocesa likumā noteikto kārtību, kas pieļauj arī tādas mantas konfiskāciju, kas nepieder personai, kura tiek saukta pie kriminālatbildības. Krimināltiesiskajā praksē nav reti gadījumi, kad personai nav mantas, ko varētu pakļaut konfiskācijai, jo tā ir atsavināta, iznīcināta, noslēpta vai nomaskēta. Šādos gadījumos atbilstoši Krimināllikuma 70.</w:t>
      </w:r>
      <w:r w:rsidR="00EB33DA" w:rsidRPr="00F36B06">
        <w:rPr>
          <w:rFonts w:ascii="Times New Roman" w:hAnsi="Times New Roman" w:cs="Times New Roman"/>
          <w:vertAlign w:val="superscript"/>
        </w:rPr>
        <w:t>14</w:t>
      </w:r>
      <w:r w:rsidR="00EB33DA" w:rsidRPr="00F36B06">
        <w:rPr>
          <w:rFonts w:ascii="Times New Roman" w:hAnsi="Times New Roman" w:cs="Times New Roman"/>
        </w:rPr>
        <w:t xml:space="preserve"> panta ceturtajai daļai ir spējams konfiscēt: 1) mantu, ko persona pēc noziedzīga nodarījuma uzsākšanas atsavinājusi citai personai bez maksas vai par vērtību, kas ir būtiski zemāka vai būtiski augstāka nekā tirgus vērtība; 2) personas, kura izdarījusi noziedzīgu nodarījumu, un tās laulātā kopīgo mantu, ja vien vismaz gadu pirms noziedzīga nodarījuma uzsākšanas nav noteikta laulāto mantas šķirtība; 3) mantu, kas pieder citai personai, ar kuru noziedzīgu nodarījumu izdarījušai personai ir kopīga (nedalīta) saimniecība, ja šī manta iegūta pēc noziedzīga nodarījuma uzsākšanas. </w:t>
      </w:r>
      <w:r w:rsidR="00DB6FE7" w:rsidRPr="00F36B06">
        <w:rPr>
          <w:rFonts w:ascii="Times New Roman" w:hAnsi="Times New Roman" w:cs="Times New Roman"/>
        </w:rPr>
        <w:t xml:space="preserve">Līdz ar to ir apsverama arī iespēja salāgot </w:t>
      </w:r>
      <w:r w:rsidR="001D7F09" w:rsidRPr="00F36B06">
        <w:rPr>
          <w:rFonts w:ascii="Times New Roman" w:hAnsi="Times New Roman" w:cs="Times New Roman"/>
        </w:rPr>
        <w:t xml:space="preserve">šo mehānismu ar diskvalifikācijas </w:t>
      </w:r>
      <w:r w:rsidR="004A1EA2" w:rsidRPr="00F36B06">
        <w:rPr>
          <w:rFonts w:ascii="Times New Roman" w:hAnsi="Times New Roman" w:cs="Times New Roman"/>
        </w:rPr>
        <w:t>institūtu.</w:t>
      </w:r>
    </w:p>
    <w:p w14:paraId="44C76C95" w14:textId="26B0A696" w:rsidR="00457B8A" w:rsidRPr="00F36B06" w:rsidRDefault="00DF04CB" w:rsidP="00765884">
      <w:pPr>
        <w:spacing w:after="0" w:line="240" w:lineRule="auto"/>
        <w:ind w:firstLine="720"/>
        <w:jc w:val="both"/>
        <w:rPr>
          <w:rFonts w:ascii="Times New Roman" w:hAnsi="Times New Roman" w:cs="Times New Roman"/>
        </w:rPr>
      </w:pPr>
      <w:r w:rsidRPr="00F36B06">
        <w:rPr>
          <w:rFonts w:ascii="Times New Roman" w:hAnsi="Times New Roman" w:cs="Times New Roman"/>
        </w:rPr>
        <w:t>Neapšaubāmi</w:t>
      </w:r>
      <w:r w:rsidR="004F72F2" w:rsidRPr="00F36B06">
        <w:rPr>
          <w:rFonts w:ascii="Times New Roman" w:hAnsi="Times New Roman" w:cs="Times New Roman"/>
        </w:rPr>
        <w:t xml:space="preserve"> </w:t>
      </w:r>
      <w:r w:rsidRPr="00F36B06">
        <w:rPr>
          <w:rFonts w:ascii="Times New Roman" w:hAnsi="Times New Roman" w:cs="Times New Roman"/>
        </w:rPr>
        <w:t xml:space="preserve">secinājumos piedāvātie risinājumi </w:t>
      </w:r>
      <w:r w:rsidR="00457B8A" w:rsidRPr="00F36B06">
        <w:rPr>
          <w:rFonts w:ascii="Times New Roman" w:hAnsi="Times New Roman" w:cs="Times New Roman"/>
        </w:rPr>
        <w:t xml:space="preserve">var šķist </w:t>
      </w:r>
      <w:r w:rsidR="00F74174" w:rsidRPr="00F36B06">
        <w:rPr>
          <w:rFonts w:ascii="Times New Roman" w:hAnsi="Times New Roman" w:cs="Times New Roman"/>
        </w:rPr>
        <w:t>stingri</w:t>
      </w:r>
      <w:r w:rsidR="00457B8A" w:rsidRPr="00F36B06">
        <w:rPr>
          <w:rFonts w:ascii="Times New Roman" w:hAnsi="Times New Roman" w:cs="Times New Roman"/>
        </w:rPr>
        <w:t xml:space="preserve"> un sākotnēji varētu radīt bažas, ka tie samazinās cilvēku vēlmi uzņemties valdes locekļa amatu, </w:t>
      </w:r>
      <w:r w:rsidR="00F74174" w:rsidRPr="00F36B06">
        <w:rPr>
          <w:rFonts w:ascii="Times New Roman" w:hAnsi="Times New Roman" w:cs="Times New Roman"/>
        </w:rPr>
        <w:t xml:space="preserve">tomēr </w:t>
      </w:r>
      <w:r w:rsidR="00457B8A" w:rsidRPr="00F36B06">
        <w:rPr>
          <w:rFonts w:ascii="Times New Roman" w:hAnsi="Times New Roman" w:cs="Times New Roman"/>
        </w:rPr>
        <w:t xml:space="preserve">ir svarīgi izprast šo pasākumu </w:t>
      </w:r>
      <w:r w:rsidR="00F74174" w:rsidRPr="00F36B06">
        <w:rPr>
          <w:rFonts w:ascii="Times New Roman" w:hAnsi="Times New Roman" w:cs="Times New Roman"/>
        </w:rPr>
        <w:t>mērķi</w:t>
      </w:r>
      <w:r w:rsidR="00457B8A" w:rsidRPr="00F36B06">
        <w:rPr>
          <w:rFonts w:ascii="Times New Roman" w:hAnsi="Times New Roman" w:cs="Times New Roman"/>
        </w:rPr>
        <w:t xml:space="preserve"> un piemērošanas robežas. Š</w:t>
      </w:r>
      <w:r w:rsidR="00C442EE" w:rsidRPr="00F36B06">
        <w:rPr>
          <w:rFonts w:ascii="Times New Roman" w:hAnsi="Times New Roman" w:cs="Times New Roman"/>
        </w:rPr>
        <w:t>o</w:t>
      </w:r>
      <w:r w:rsidR="00457B8A" w:rsidRPr="00F36B06">
        <w:rPr>
          <w:rFonts w:ascii="Times New Roman" w:hAnsi="Times New Roman" w:cs="Times New Roman"/>
        </w:rPr>
        <w:t xml:space="preserve"> mehānism</w:t>
      </w:r>
      <w:r w:rsidR="00C442EE" w:rsidRPr="00F36B06">
        <w:rPr>
          <w:rFonts w:ascii="Times New Roman" w:hAnsi="Times New Roman" w:cs="Times New Roman"/>
        </w:rPr>
        <w:t xml:space="preserve">u mērķis nav </w:t>
      </w:r>
      <w:r w:rsidR="00457B8A" w:rsidRPr="00F36B06">
        <w:rPr>
          <w:rFonts w:ascii="Times New Roman" w:hAnsi="Times New Roman" w:cs="Times New Roman"/>
        </w:rPr>
        <w:t>nevajadzīgi apgrūtināt uzņēmējdarbību vai radīt papildu riskus godprātīgiem valdes locekļiem, bet gan lai nodrošinātu taisnīgumu situācijās, kad valdes loceklis ir pārkāpis savus pienākumus un ar savām darbībām vai bezdarbību ir nodarījis būtisku kaitējumu sabiedrībai un tās kreditoriem.</w:t>
      </w:r>
    </w:p>
    <w:p w14:paraId="319D6CE4" w14:textId="37396A45" w:rsidR="00457B8A" w:rsidRPr="00F36B06" w:rsidRDefault="00457B8A" w:rsidP="00765884">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Jāuzsver, ka šādi risinājumi tiktu piemēroti tikai tiesībpārkāpuma gadījumā, kad valdes locekļa rīcība ir novērtējama kā prettiesiska un tieši saistīta ar sabiedrības maksātnespēju vai kreditoru interešu būtisku aizskārumu. Tādējādi šādu instrumentu esamība nebūtu </w:t>
      </w:r>
      <w:r w:rsidR="00C442EE" w:rsidRPr="00F36B06">
        <w:rPr>
          <w:rFonts w:ascii="Times New Roman" w:hAnsi="Times New Roman" w:cs="Times New Roman"/>
        </w:rPr>
        <w:t xml:space="preserve">jāuzskata </w:t>
      </w:r>
      <w:r w:rsidRPr="00F36B06">
        <w:rPr>
          <w:rFonts w:ascii="Times New Roman" w:hAnsi="Times New Roman" w:cs="Times New Roman"/>
        </w:rPr>
        <w:t>kā šķērslis uzņēmējdarbības iniciatīvai vai attīstībai, bet gan kā saprātīga aizsardzība pret bezatbildīgu vai ļaunprātīgu rīcību, kas</w:t>
      </w:r>
      <w:r w:rsidR="00CB50CA" w:rsidRPr="00F36B06">
        <w:rPr>
          <w:rFonts w:ascii="Times New Roman" w:hAnsi="Times New Roman" w:cs="Times New Roman"/>
        </w:rPr>
        <w:t>,</w:t>
      </w:r>
      <w:r w:rsidRPr="00F36B06">
        <w:rPr>
          <w:rFonts w:ascii="Times New Roman" w:hAnsi="Times New Roman" w:cs="Times New Roman"/>
        </w:rPr>
        <w:t xml:space="preserve"> </w:t>
      </w:r>
      <w:r w:rsidR="00C1770E" w:rsidRPr="00F36B06">
        <w:rPr>
          <w:rFonts w:ascii="Times New Roman" w:hAnsi="Times New Roman" w:cs="Times New Roman"/>
        </w:rPr>
        <w:t>kā redzams no šā pētījuma</w:t>
      </w:r>
      <w:r w:rsidR="00CB50CA" w:rsidRPr="00F36B06">
        <w:rPr>
          <w:rFonts w:ascii="Times New Roman" w:hAnsi="Times New Roman" w:cs="Times New Roman"/>
        </w:rPr>
        <w:t>,</w:t>
      </w:r>
      <w:r w:rsidRPr="00F36B06">
        <w:rPr>
          <w:rFonts w:ascii="Times New Roman" w:hAnsi="Times New Roman" w:cs="Times New Roman"/>
        </w:rPr>
        <w:t xml:space="preserve"> kreditoriem rada zaudējumus miljonu </w:t>
      </w:r>
      <w:proofErr w:type="spellStart"/>
      <w:r w:rsidR="00CB50CA" w:rsidRPr="00F36B06">
        <w:rPr>
          <w:rFonts w:ascii="Times New Roman" w:hAnsi="Times New Roman" w:cs="Times New Roman"/>
          <w:i/>
          <w:iCs/>
        </w:rPr>
        <w:t>euro</w:t>
      </w:r>
      <w:proofErr w:type="spellEnd"/>
      <w:r w:rsidR="00CB50CA" w:rsidRPr="00F36B06">
        <w:rPr>
          <w:rFonts w:ascii="Times New Roman" w:hAnsi="Times New Roman" w:cs="Times New Roman"/>
          <w:i/>
          <w:iCs/>
        </w:rPr>
        <w:t xml:space="preserve"> </w:t>
      </w:r>
      <w:r w:rsidRPr="00F36B06">
        <w:rPr>
          <w:rFonts w:ascii="Times New Roman" w:hAnsi="Times New Roman" w:cs="Times New Roman"/>
        </w:rPr>
        <w:t>apmērā</w:t>
      </w:r>
      <w:r w:rsidR="00103685" w:rsidRPr="00F36B06">
        <w:rPr>
          <w:rStyle w:val="FootnoteReference"/>
          <w:rFonts w:ascii="Times New Roman" w:hAnsi="Times New Roman" w:cs="Times New Roman"/>
        </w:rPr>
        <w:footnoteReference w:id="64"/>
      </w:r>
      <w:r w:rsidRPr="00F36B06">
        <w:rPr>
          <w:rFonts w:ascii="Times New Roman" w:hAnsi="Times New Roman" w:cs="Times New Roman"/>
        </w:rPr>
        <w:t>.</w:t>
      </w:r>
    </w:p>
    <w:p w14:paraId="7F673BB8" w14:textId="30AEB2D5" w:rsidR="00457B8A" w:rsidRPr="00457B8A" w:rsidRDefault="00457B8A" w:rsidP="00765884">
      <w:pPr>
        <w:spacing w:after="0" w:line="240" w:lineRule="auto"/>
        <w:ind w:firstLine="720"/>
        <w:jc w:val="both"/>
        <w:rPr>
          <w:rFonts w:ascii="Times New Roman" w:hAnsi="Times New Roman" w:cs="Times New Roman"/>
        </w:rPr>
      </w:pPr>
      <w:r w:rsidRPr="00F36B06">
        <w:rPr>
          <w:rFonts w:ascii="Times New Roman" w:hAnsi="Times New Roman" w:cs="Times New Roman"/>
        </w:rPr>
        <w:t xml:space="preserve">Tādēļ </w:t>
      </w:r>
      <w:r w:rsidR="00CB15E2" w:rsidRPr="00F36B06">
        <w:rPr>
          <w:rFonts w:ascii="Times New Roman" w:hAnsi="Times New Roman" w:cs="Times New Roman"/>
        </w:rPr>
        <w:t xml:space="preserve">diskusijas uzsākšana par civiltiesiskās atbildības institūta efektivitātes </w:t>
      </w:r>
      <w:r w:rsidR="00D36FCB" w:rsidRPr="00F36B06">
        <w:rPr>
          <w:rFonts w:ascii="Times New Roman" w:hAnsi="Times New Roman" w:cs="Times New Roman"/>
        </w:rPr>
        <w:t>paaugstināšan</w:t>
      </w:r>
      <w:r w:rsidR="00CB50CA" w:rsidRPr="00F36B06">
        <w:rPr>
          <w:rFonts w:ascii="Times New Roman" w:hAnsi="Times New Roman" w:cs="Times New Roman"/>
        </w:rPr>
        <w:t>u</w:t>
      </w:r>
      <w:r w:rsidRPr="00F36B06">
        <w:rPr>
          <w:rFonts w:ascii="Times New Roman" w:hAnsi="Times New Roman" w:cs="Times New Roman"/>
        </w:rPr>
        <w:t xml:space="preserve"> ir pamatota un nepieciešama, lai stiprinātu uzņēmējdarbības vides caurspīdīgumu, nodrošinātu kreditoru tiesību aizsardzību un ilgtermiņā celtu uzticību Latvijas </w:t>
      </w:r>
      <w:proofErr w:type="spellStart"/>
      <w:r w:rsidRPr="00F36B06">
        <w:rPr>
          <w:rFonts w:ascii="Times New Roman" w:hAnsi="Times New Roman" w:cs="Times New Roman"/>
        </w:rPr>
        <w:t>komercvidei</w:t>
      </w:r>
      <w:proofErr w:type="spellEnd"/>
      <w:r w:rsidRPr="00F36B06">
        <w:rPr>
          <w:rFonts w:ascii="Times New Roman" w:hAnsi="Times New Roman" w:cs="Times New Roman"/>
        </w:rPr>
        <w:t>, jo efektīva valdes locekļu atbildība nevis kavē, bet veicina ilgtspējīgu un godprātīgu uzņēmējdarbību.</w:t>
      </w:r>
    </w:p>
    <w:p w14:paraId="1A45F777" w14:textId="366AFA54" w:rsidR="00181626" w:rsidRPr="00C205E1" w:rsidRDefault="00181626" w:rsidP="00102208">
      <w:pPr>
        <w:spacing w:after="0" w:line="240" w:lineRule="auto"/>
        <w:ind w:firstLine="720"/>
        <w:rPr>
          <w:rFonts w:ascii="Times New Roman" w:hAnsi="Times New Roman" w:cs="Times New Roman"/>
        </w:rPr>
      </w:pPr>
    </w:p>
    <w:sectPr w:rsidR="00181626" w:rsidRPr="00C205E1" w:rsidSect="001218AD">
      <w:headerReference w:type="default" r:id="rId1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FD05" w14:textId="77777777" w:rsidR="00F961E7" w:rsidRDefault="00F961E7" w:rsidP="003F15FE">
      <w:pPr>
        <w:spacing w:after="0" w:line="240" w:lineRule="auto"/>
      </w:pPr>
      <w:r>
        <w:separator/>
      </w:r>
    </w:p>
  </w:endnote>
  <w:endnote w:type="continuationSeparator" w:id="0">
    <w:p w14:paraId="7E3FEBEA" w14:textId="77777777" w:rsidR="00F961E7" w:rsidRDefault="00F961E7" w:rsidP="003F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6E6B" w14:textId="77777777" w:rsidR="00F961E7" w:rsidRDefault="00F961E7" w:rsidP="003F15FE">
      <w:pPr>
        <w:spacing w:after="0" w:line="240" w:lineRule="auto"/>
      </w:pPr>
      <w:r>
        <w:separator/>
      </w:r>
    </w:p>
  </w:footnote>
  <w:footnote w:type="continuationSeparator" w:id="0">
    <w:p w14:paraId="3D1BD641" w14:textId="77777777" w:rsidR="00F961E7" w:rsidRDefault="00F961E7" w:rsidP="003F15FE">
      <w:pPr>
        <w:spacing w:after="0" w:line="240" w:lineRule="auto"/>
      </w:pPr>
      <w:r>
        <w:continuationSeparator/>
      </w:r>
    </w:p>
  </w:footnote>
  <w:footnote w:id="1">
    <w:p w14:paraId="342FF883" w14:textId="36841995" w:rsidR="003F15FE" w:rsidRPr="0061701E" w:rsidRDefault="003F15FE" w:rsidP="00A85E94">
      <w:pPr>
        <w:pStyle w:val="FootnoteText"/>
        <w:jc w:val="both"/>
        <w:rPr>
          <w:rFonts w:ascii="Times New Roman" w:hAnsi="Times New Roman" w:cs="Times New Roman"/>
        </w:rPr>
      </w:pPr>
      <w:r w:rsidRPr="0061701E">
        <w:rPr>
          <w:rStyle w:val="FootnoteReference"/>
          <w:rFonts w:ascii="Times New Roman" w:hAnsi="Times New Roman" w:cs="Times New Roman"/>
        </w:rPr>
        <w:footnoteRef/>
      </w:r>
      <w:r w:rsidRPr="0061701E">
        <w:rPr>
          <w:rFonts w:ascii="Times New Roman" w:hAnsi="Times New Roman" w:cs="Times New Roman"/>
        </w:rPr>
        <w:t xml:space="preserve"> Pētījumā nav ietverti dati par prasībām, kas celtas debitoru parādu piedziņai un </w:t>
      </w:r>
      <w:r w:rsidR="0061701E" w:rsidRPr="0061701E">
        <w:rPr>
          <w:rFonts w:ascii="Times New Roman" w:hAnsi="Times New Roman" w:cs="Times New Roman"/>
        </w:rPr>
        <w:t>uzņēmuma pārejas gadījumā.</w:t>
      </w:r>
    </w:p>
  </w:footnote>
  <w:footnote w:id="2">
    <w:p w14:paraId="79B2580D" w14:textId="7E257E6D" w:rsidR="00BB209E" w:rsidRPr="003D1028" w:rsidRDefault="00BB209E" w:rsidP="00A85E94">
      <w:pPr>
        <w:pStyle w:val="FootnoteText"/>
        <w:jc w:val="both"/>
        <w:rPr>
          <w:rFonts w:ascii="Times New Roman" w:hAnsi="Times New Roman" w:cs="Times New Roman"/>
        </w:rPr>
      </w:pPr>
      <w:r>
        <w:rPr>
          <w:rStyle w:val="FootnoteReference"/>
        </w:rPr>
        <w:footnoteRef/>
      </w:r>
      <w:r>
        <w:t xml:space="preserve"> </w:t>
      </w:r>
      <w:r w:rsidRPr="003D1028">
        <w:rPr>
          <w:rFonts w:ascii="Times New Roman" w:hAnsi="Times New Roman" w:cs="Times New Roman"/>
        </w:rPr>
        <w:t>Maksātnespējas likuma 4. panta pirmā daļa.</w:t>
      </w:r>
    </w:p>
  </w:footnote>
  <w:footnote w:id="3">
    <w:p w14:paraId="3A8CAFB6" w14:textId="6F35F355" w:rsidR="00C2210C" w:rsidRPr="003D1028" w:rsidRDefault="00C2210C">
      <w:pPr>
        <w:pStyle w:val="FootnoteText"/>
        <w:rPr>
          <w:rFonts w:ascii="Times New Roman" w:hAnsi="Times New Roman" w:cs="Times New Roman"/>
        </w:rPr>
      </w:pPr>
      <w:r w:rsidRPr="003D1028">
        <w:rPr>
          <w:rStyle w:val="FootnoteReference"/>
          <w:rFonts w:ascii="Times New Roman" w:hAnsi="Times New Roman" w:cs="Times New Roman"/>
        </w:rPr>
        <w:footnoteRef/>
      </w:r>
      <w:r w:rsidRPr="003D1028">
        <w:rPr>
          <w:rFonts w:ascii="Times New Roman" w:hAnsi="Times New Roman" w:cs="Times New Roman"/>
        </w:rPr>
        <w:t xml:space="preserve"> </w:t>
      </w:r>
      <w:r w:rsidR="0046466C" w:rsidRPr="003D1028">
        <w:rPr>
          <w:rFonts w:ascii="Times New Roman" w:hAnsi="Times New Roman" w:cs="Times New Roman"/>
        </w:rPr>
        <w:t>Maksātnespējas likuma 6</w:t>
      </w:r>
      <w:r w:rsidR="00651785" w:rsidRPr="003D1028">
        <w:rPr>
          <w:rFonts w:ascii="Times New Roman" w:hAnsi="Times New Roman" w:cs="Times New Roman"/>
        </w:rPr>
        <w:t>4</w:t>
      </w:r>
      <w:r w:rsidR="00586ECD" w:rsidRPr="003D1028">
        <w:rPr>
          <w:rFonts w:ascii="Times New Roman" w:hAnsi="Times New Roman" w:cs="Times New Roman"/>
        </w:rPr>
        <w:t>. panta pirmās daļas 1. punkts</w:t>
      </w:r>
      <w:r w:rsidR="00651785" w:rsidRPr="003D1028">
        <w:rPr>
          <w:rFonts w:ascii="Times New Roman" w:hAnsi="Times New Roman" w:cs="Times New Roman"/>
        </w:rPr>
        <w:t xml:space="preserve"> un 65.</w:t>
      </w:r>
      <w:r w:rsidR="00F77165" w:rsidRPr="003D1028">
        <w:rPr>
          <w:rFonts w:ascii="Times New Roman" w:hAnsi="Times New Roman" w:cs="Times New Roman"/>
        </w:rPr>
        <w:t> pants</w:t>
      </w:r>
      <w:r w:rsidR="00A425D1">
        <w:rPr>
          <w:rFonts w:ascii="Times New Roman" w:hAnsi="Times New Roman" w:cs="Times New Roman"/>
        </w:rPr>
        <w:t>.</w:t>
      </w:r>
    </w:p>
  </w:footnote>
  <w:footnote w:id="4">
    <w:p w14:paraId="4C142690" w14:textId="03C4FB65" w:rsidR="00E2516D" w:rsidRPr="003D1028" w:rsidRDefault="00E2516D" w:rsidP="00A85E94">
      <w:pPr>
        <w:pStyle w:val="FootnoteText"/>
        <w:jc w:val="both"/>
        <w:rPr>
          <w:rFonts w:ascii="Times New Roman" w:hAnsi="Times New Roman" w:cs="Times New Roman"/>
        </w:rPr>
      </w:pPr>
      <w:r w:rsidRPr="003D1028">
        <w:rPr>
          <w:rStyle w:val="FootnoteReference"/>
          <w:rFonts w:ascii="Times New Roman" w:hAnsi="Times New Roman" w:cs="Times New Roman"/>
        </w:rPr>
        <w:footnoteRef/>
      </w:r>
      <w:r w:rsidRPr="003D1028">
        <w:rPr>
          <w:rFonts w:ascii="Times New Roman" w:hAnsi="Times New Roman" w:cs="Times New Roman"/>
        </w:rPr>
        <w:t xml:space="preserve"> Maksātnespējas likuma 26. panta otrā daļa</w:t>
      </w:r>
      <w:r w:rsidR="00A425D1">
        <w:rPr>
          <w:rFonts w:ascii="Times New Roman" w:hAnsi="Times New Roman" w:cs="Times New Roman"/>
        </w:rPr>
        <w:t>.</w:t>
      </w:r>
    </w:p>
  </w:footnote>
  <w:footnote w:id="5">
    <w:p w14:paraId="7CA520EA" w14:textId="36ECFA61" w:rsidR="00435800" w:rsidRPr="0064518F" w:rsidRDefault="00435800" w:rsidP="00435800">
      <w:pPr>
        <w:pStyle w:val="FootnoteText"/>
        <w:rPr>
          <w:rFonts w:ascii="Times New Roman" w:hAnsi="Times New Roman" w:cs="Times New Roman"/>
        </w:rPr>
      </w:pPr>
      <w:r>
        <w:rPr>
          <w:rStyle w:val="FootnoteReference"/>
        </w:rPr>
        <w:footnoteRef/>
      </w:r>
      <w:r>
        <w:t xml:space="preserve"> </w:t>
      </w:r>
      <w:r w:rsidRPr="0064518F">
        <w:rPr>
          <w:rFonts w:ascii="Times New Roman" w:hAnsi="Times New Roman" w:cs="Times New Roman"/>
        </w:rPr>
        <w:t>Maksātnespējas likuma 65. panta 3. punkts</w:t>
      </w:r>
      <w:r w:rsidR="00A425D1">
        <w:rPr>
          <w:rFonts w:ascii="Times New Roman" w:hAnsi="Times New Roman" w:cs="Times New Roman"/>
        </w:rPr>
        <w:t>.</w:t>
      </w:r>
    </w:p>
  </w:footnote>
  <w:footnote w:id="6">
    <w:p w14:paraId="129AA9B8" w14:textId="5D50AEAB" w:rsidR="000D6700" w:rsidRDefault="000D6700">
      <w:pPr>
        <w:pStyle w:val="FootnoteText"/>
      </w:pPr>
      <w:r>
        <w:rPr>
          <w:rStyle w:val="FootnoteReference"/>
        </w:rPr>
        <w:footnoteRef/>
      </w:r>
      <w:r>
        <w:t xml:space="preserve"> </w:t>
      </w:r>
      <w:r w:rsidRPr="006B7CD4">
        <w:rPr>
          <w:rFonts w:ascii="Times New Roman" w:hAnsi="Times New Roman" w:cs="Times New Roman"/>
        </w:rPr>
        <w:t xml:space="preserve">Maksātnespējas likuma </w:t>
      </w:r>
      <w:r w:rsidR="001A56AC" w:rsidRPr="006B7CD4">
        <w:rPr>
          <w:rFonts w:ascii="Times New Roman" w:hAnsi="Times New Roman" w:cs="Times New Roman"/>
        </w:rPr>
        <w:t>87. </w:t>
      </w:r>
      <w:r w:rsidR="00B31F9C" w:rsidRPr="006B7CD4">
        <w:rPr>
          <w:rFonts w:ascii="Times New Roman" w:hAnsi="Times New Roman" w:cs="Times New Roman"/>
        </w:rPr>
        <w:t xml:space="preserve">, 89. un </w:t>
      </w:r>
      <w:r w:rsidRPr="006B7CD4">
        <w:rPr>
          <w:rFonts w:ascii="Times New Roman" w:hAnsi="Times New Roman" w:cs="Times New Roman"/>
        </w:rPr>
        <w:t>118. pants</w:t>
      </w:r>
      <w:r w:rsidR="00A425D1">
        <w:t>.</w:t>
      </w:r>
    </w:p>
  </w:footnote>
  <w:footnote w:id="7">
    <w:p w14:paraId="294F149A" w14:textId="458B18F9" w:rsidR="00EE57DE" w:rsidRPr="003D1028" w:rsidRDefault="00EE57DE">
      <w:pPr>
        <w:pStyle w:val="FootnoteText"/>
        <w:rPr>
          <w:rFonts w:ascii="Times New Roman" w:hAnsi="Times New Roman" w:cs="Times New Roman"/>
        </w:rPr>
      </w:pPr>
      <w:r w:rsidRPr="003D1028">
        <w:rPr>
          <w:rStyle w:val="FootnoteReference"/>
          <w:rFonts w:ascii="Times New Roman" w:hAnsi="Times New Roman" w:cs="Times New Roman"/>
        </w:rPr>
        <w:footnoteRef/>
      </w:r>
      <w:r w:rsidRPr="003D1028">
        <w:rPr>
          <w:rFonts w:ascii="Times New Roman" w:hAnsi="Times New Roman" w:cs="Times New Roman"/>
        </w:rPr>
        <w:t xml:space="preserve"> </w:t>
      </w:r>
      <w:r w:rsidR="003D1028" w:rsidRPr="003D1028">
        <w:rPr>
          <w:rFonts w:ascii="Times New Roman" w:hAnsi="Times New Roman" w:cs="Times New Roman"/>
        </w:rPr>
        <w:t>Maksātnespējas likuma 65. panta 2. punkts</w:t>
      </w:r>
      <w:r w:rsidR="00967C03">
        <w:rPr>
          <w:rFonts w:ascii="Times New Roman" w:hAnsi="Times New Roman" w:cs="Times New Roman"/>
        </w:rPr>
        <w:t>.</w:t>
      </w:r>
    </w:p>
  </w:footnote>
  <w:footnote w:id="8">
    <w:p w14:paraId="021B7370" w14:textId="0449D4AA" w:rsidR="005E32BC" w:rsidRDefault="005E32BC">
      <w:pPr>
        <w:pStyle w:val="FootnoteText"/>
      </w:pPr>
      <w:r>
        <w:rPr>
          <w:rStyle w:val="FootnoteReference"/>
        </w:rPr>
        <w:footnoteRef/>
      </w:r>
      <w:r>
        <w:t xml:space="preserve"> </w:t>
      </w:r>
      <w:r w:rsidR="00F37A4C" w:rsidRPr="003D1028">
        <w:rPr>
          <w:rFonts w:ascii="Times New Roman" w:hAnsi="Times New Roman" w:cs="Times New Roman"/>
        </w:rPr>
        <w:t>Maksātnespējas likuma</w:t>
      </w:r>
      <w:r w:rsidR="00C1674C">
        <w:rPr>
          <w:rFonts w:ascii="Times New Roman" w:hAnsi="Times New Roman" w:cs="Times New Roman"/>
        </w:rPr>
        <w:t xml:space="preserve"> 111. panta pirmā daļa un </w:t>
      </w:r>
      <w:r w:rsidR="005E0BA3">
        <w:rPr>
          <w:rFonts w:ascii="Times New Roman" w:hAnsi="Times New Roman" w:cs="Times New Roman"/>
        </w:rPr>
        <w:t>113. pants</w:t>
      </w:r>
      <w:r w:rsidR="00967C03">
        <w:rPr>
          <w:rFonts w:ascii="Times New Roman" w:hAnsi="Times New Roman" w:cs="Times New Roman"/>
        </w:rPr>
        <w:t>.</w:t>
      </w:r>
    </w:p>
  </w:footnote>
  <w:footnote w:id="9">
    <w:p w14:paraId="33EF11B3" w14:textId="1F7026D2" w:rsidR="00F37A4C" w:rsidRPr="0017518D" w:rsidRDefault="00F37A4C">
      <w:pPr>
        <w:pStyle w:val="FootnoteText"/>
        <w:rPr>
          <w:rFonts w:ascii="Times New Roman" w:hAnsi="Times New Roman" w:cs="Times New Roman"/>
        </w:rPr>
      </w:pPr>
      <w:r>
        <w:rPr>
          <w:rStyle w:val="FootnoteReference"/>
        </w:rPr>
        <w:footnoteRef/>
      </w:r>
      <w:r>
        <w:t xml:space="preserve"> </w:t>
      </w:r>
      <w:r w:rsidRPr="0017518D">
        <w:rPr>
          <w:rFonts w:ascii="Times New Roman" w:hAnsi="Times New Roman" w:cs="Times New Roman"/>
        </w:rPr>
        <w:t>Maksātnespējas likuma</w:t>
      </w:r>
      <w:r w:rsidR="005B1242" w:rsidRPr="0017518D">
        <w:rPr>
          <w:rFonts w:ascii="Times New Roman" w:hAnsi="Times New Roman" w:cs="Times New Roman"/>
        </w:rPr>
        <w:t xml:space="preserve"> 112. panta pirmā daļa</w:t>
      </w:r>
      <w:r w:rsidR="00967C03">
        <w:rPr>
          <w:rFonts w:ascii="Times New Roman" w:hAnsi="Times New Roman" w:cs="Times New Roman"/>
        </w:rPr>
        <w:t>.</w:t>
      </w:r>
    </w:p>
  </w:footnote>
  <w:footnote w:id="10">
    <w:p w14:paraId="2EED58F5" w14:textId="06F93591" w:rsidR="00123729" w:rsidRPr="0017518D" w:rsidRDefault="00123729">
      <w:pPr>
        <w:pStyle w:val="FootnoteText"/>
        <w:rPr>
          <w:rFonts w:ascii="Times New Roman" w:hAnsi="Times New Roman" w:cs="Times New Roman"/>
        </w:rPr>
      </w:pPr>
      <w:r w:rsidRPr="0017518D">
        <w:rPr>
          <w:rStyle w:val="FootnoteReference"/>
          <w:rFonts w:ascii="Times New Roman" w:hAnsi="Times New Roman" w:cs="Times New Roman"/>
        </w:rPr>
        <w:footnoteRef/>
      </w:r>
      <w:r w:rsidR="00D92C84">
        <w:rPr>
          <w:rFonts w:ascii="Times New Roman" w:hAnsi="Times New Roman" w:cs="Times New Roman"/>
        </w:rPr>
        <w:t> </w:t>
      </w:r>
      <w:r w:rsidR="00733C8D" w:rsidRPr="0017518D">
        <w:rPr>
          <w:rFonts w:ascii="Times New Roman" w:hAnsi="Times New Roman" w:cs="Times New Roman"/>
        </w:rPr>
        <w:t xml:space="preserve">2023. gadā </w:t>
      </w:r>
      <w:r w:rsidR="00265469" w:rsidRPr="0017518D">
        <w:rPr>
          <w:rFonts w:ascii="Times New Roman" w:hAnsi="Times New Roman" w:cs="Times New Roman"/>
        </w:rPr>
        <w:t>iz</w:t>
      </w:r>
      <w:r w:rsidR="00733C8D" w:rsidRPr="0017518D">
        <w:rPr>
          <w:rFonts w:ascii="Times New Roman" w:hAnsi="Times New Roman" w:cs="Times New Roman"/>
        </w:rPr>
        <w:t>beigti</w:t>
      </w:r>
      <w:r w:rsidR="00D64E6D" w:rsidRPr="0017518D">
        <w:rPr>
          <w:rFonts w:ascii="Times New Roman" w:hAnsi="Times New Roman" w:cs="Times New Roman"/>
        </w:rPr>
        <w:t>e</w:t>
      </w:r>
      <w:r w:rsidR="00733C8D" w:rsidRPr="0017518D">
        <w:rPr>
          <w:rFonts w:ascii="Times New Roman" w:hAnsi="Times New Roman" w:cs="Times New Roman"/>
        </w:rPr>
        <w:t xml:space="preserve"> juridiskās personas maksātnespējas procesi</w:t>
      </w:r>
      <w:r w:rsidR="00967C03">
        <w:rPr>
          <w:rFonts w:ascii="Times New Roman" w:hAnsi="Times New Roman" w:cs="Times New Roman"/>
        </w:rPr>
        <w:t>.</w:t>
      </w:r>
    </w:p>
  </w:footnote>
  <w:footnote w:id="11">
    <w:p w14:paraId="2C080B7C" w14:textId="33D98597" w:rsidR="00B31290" w:rsidRPr="0017518D" w:rsidRDefault="00B31290">
      <w:pPr>
        <w:pStyle w:val="FootnoteText"/>
        <w:rPr>
          <w:rFonts w:ascii="Times New Roman" w:hAnsi="Times New Roman" w:cs="Times New Roman"/>
        </w:rPr>
      </w:pPr>
      <w:r w:rsidRPr="0017518D">
        <w:rPr>
          <w:rStyle w:val="FootnoteReference"/>
          <w:rFonts w:ascii="Times New Roman" w:hAnsi="Times New Roman" w:cs="Times New Roman"/>
        </w:rPr>
        <w:footnoteRef/>
      </w:r>
      <w:r w:rsidRPr="0017518D">
        <w:rPr>
          <w:rFonts w:ascii="Times New Roman" w:hAnsi="Times New Roman" w:cs="Times New Roman"/>
        </w:rPr>
        <w:t xml:space="preserve"> Maksātnespējas likuma </w:t>
      </w:r>
      <w:r w:rsidR="00CC597B" w:rsidRPr="0017518D">
        <w:rPr>
          <w:rFonts w:ascii="Times New Roman" w:hAnsi="Times New Roman" w:cs="Times New Roman"/>
        </w:rPr>
        <w:t>93. panta pirmās daļas 1. punkts</w:t>
      </w:r>
      <w:r w:rsidR="00967C03">
        <w:rPr>
          <w:rFonts w:ascii="Times New Roman" w:hAnsi="Times New Roman" w:cs="Times New Roman"/>
        </w:rPr>
        <w:t>.</w:t>
      </w:r>
    </w:p>
  </w:footnote>
  <w:footnote w:id="12">
    <w:p w14:paraId="350D61D6" w14:textId="3AE6B464" w:rsidR="001D2ED5" w:rsidRPr="0017518D" w:rsidRDefault="001D2ED5">
      <w:pPr>
        <w:pStyle w:val="FootnoteText"/>
        <w:rPr>
          <w:rFonts w:ascii="Times New Roman" w:hAnsi="Times New Roman" w:cs="Times New Roman"/>
        </w:rPr>
      </w:pPr>
      <w:r w:rsidRPr="0017518D">
        <w:rPr>
          <w:rStyle w:val="FootnoteReference"/>
          <w:rFonts w:ascii="Times New Roman" w:hAnsi="Times New Roman" w:cs="Times New Roman"/>
        </w:rPr>
        <w:footnoteRef/>
      </w:r>
      <w:r w:rsidRPr="0017518D">
        <w:rPr>
          <w:rFonts w:ascii="Times New Roman" w:hAnsi="Times New Roman" w:cs="Times New Roman"/>
        </w:rPr>
        <w:t xml:space="preserve"> </w:t>
      </w:r>
      <w:r w:rsidR="0017518D" w:rsidRPr="0017518D">
        <w:rPr>
          <w:rFonts w:ascii="Times New Roman" w:hAnsi="Times New Roman" w:cs="Times New Roman"/>
        </w:rPr>
        <w:t>Maksātnespējas likuma 65. panta 6. punkts</w:t>
      </w:r>
      <w:r w:rsidR="00967C03">
        <w:rPr>
          <w:rFonts w:ascii="Times New Roman" w:hAnsi="Times New Roman" w:cs="Times New Roman"/>
        </w:rPr>
        <w:t>.</w:t>
      </w:r>
    </w:p>
  </w:footnote>
  <w:footnote w:id="13">
    <w:p w14:paraId="5CDDFDDD" w14:textId="2B964372" w:rsidR="001D2ED5" w:rsidRPr="0017518D" w:rsidRDefault="001D2ED5">
      <w:pPr>
        <w:pStyle w:val="FootnoteText"/>
        <w:rPr>
          <w:rFonts w:ascii="Times New Roman" w:hAnsi="Times New Roman" w:cs="Times New Roman"/>
        </w:rPr>
      </w:pPr>
      <w:r w:rsidRPr="0017518D">
        <w:rPr>
          <w:rStyle w:val="FootnoteReference"/>
          <w:rFonts w:ascii="Times New Roman" w:hAnsi="Times New Roman" w:cs="Times New Roman"/>
        </w:rPr>
        <w:footnoteRef/>
      </w:r>
      <w:r w:rsidR="00DC549B">
        <w:rPr>
          <w:rFonts w:ascii="Times New Roman" w:hAnsi="Times New Roman" w:cs="Times New Roman"/>
        </w:rPr>
        <w:t> </w:t>
      </w:r>
      <w:r w:rsidR="00641E2C" w:rsidRPr="00641E2C">
        <w:rPr>
          <w:rFonts w:ascii="Times New Roman" w:hAnsi="Times New Roman" w:cs="Times New Roman"/>
        </w:rPr>
        <w:t>Atbilstoši Maksātnespējas likuma 105.pantam administratoram ir tiesības cedēt parādnieka prasījumus pret trešajām personām, ja parāda piedziņa varētu būt apgrūtināta vai ilgstoša</w:t>
      </w:r>
      <w:r w:rsidR="00967C03">
        <w:rPr>
          <w:rFonts w:ascii="Times New Roman" w:hAnsi="Times New Roman" w:cs="Times New Roman"/>
        </w:rPr>
        <w:t>.</w:t>
      </w:r>
    </w:p>
  </w:footnote>
  <w:footnote w:id="14">
    <w:p w14:paraId="4693715C" w14:textId="0114E680" w:rsidR="00BB11A8" w:rsidRPr="00C70809" w:rsidRDefault="00BB11A8" w:rsidP="00060780">
      <w:pPr>
        <w:pStyle w:val="FootnoteText"/>
        <w:jc w:val="both"/>
        <w:rPr>
          <w:rFonts w:ascii="Times New Roman" w:hAnsi="Times New Roman" w:cs="Times New Roman"/>
        </w:rPr>
      </w:pPr>
      <w:r w:rsidRPr="00C70809">
        <w:rPr>
          <w:rStyle w:val="FootnoteReference"/>
          <w:rFonts w:ascii="Times New Roman" w:hAnsi="Times New Roman" w:cs="Times New Roman"/>
        </w:rPr>
        <w:footnoteRef/>
      </w:r>
      <w:r w:rsidRPr="00C70809">
        <w:rPr>
          <w:rFonts w:ascii="Times New Roman" w:hAnsi="Times New Roman" w:cs="Times New Roman"/>
        </w:rPr>
        <w:t xml:space="preserve"> Sabiedrība neatbild par dalībnieka saistībām, bet d</w:t>
      </w:r>
      <w:r w:rsidRPr="00C35A92">
        <w:rPr>
          <w:rFonts w:ascii="Times New Roman" w:hAnsi="Times New Roman" w:cs="Times New Roman"/>
        </w:rPr>
        <w:t>alībnieks neatbild par sabiedrības saistībām</w:t>
      </w:r>
      <w:r w:rsidR="00B3477A">
        <w:rPr>
          <w:rFonts w:ascii="Times New Roman" w:hAnsi="Times New Roman" w:cs="Times New Roman"/>
        </w:rPr>
        <w:t>.</w:t>
      </w:r>
    </w:p>
  </w:footnote>
  <w:footnote w:id="15">
    <w:p w14:paraId="09B706D2" w14:textId="19DB66D6" w:rsidR="00044FFC" w:rsidRPr="00BA2D12" w:rsidRDefault="00044FFC" w:rsidP="00060780">
      <w:pPr>
        <w:pStyle w:val="FootnoteText"/>
        <w:jc w:val="both"/>
        <w:rPr>
          <w:rFonts w:ascii="Times New Roman" w:hAnsi="Times New Roman" w:cs="Times New Roman"/>
        </w:rPr>
      </w:pPr>
      <w:r>
        <w:rPr>
          <w:rStyle w:val="FootnoteReference"/>
        </w:rPr>
        <w:footnoteRef/>
      </w:r>
      <w:r>
        <w:t xml:space="preserve"> </w:t>
      </w:r>
      <w:r w:rsidRPr="00BA2D12">
        <w:rPr>
          <w:rFonts w:ascii="Times New Roman" w:hAnsi="Times New Roman" w:cs="Times New Roman"/>
        </w:rPr>
        <w:t>Maksātne</w:t>
      </w:r>
      <w:r w:rsidR="00BA2D12" w:rsidRPr="00BA2D12">
        <w:rPr>
          <w:rFonts w:ascii="Times New Roman" w:hAnsi="Times New Roman" w:cs="Times New Roman"/>
        </w:rPr>
        <w:t>spējas likuma 65. panta 8. punkts</w:t>
      </w:r>
      <w:r w:rsidR="00B3477A">
        <w:rPr>
          <w:rFonts w:ascii="Times New Roman" w:hAnsi="Times New Roman" w:cs="Times New Roman"/>
        </w:rPr>
        <w:t>.</w:t>
      </w:r>
    </w:p>
  </w:footnote>
  <w:footnote w:id="16">
    <w:p w14:paraId="7608C70B" w14:textId="395ABEE5" w:rsidR="00E806E4" w:rsidRPr="003D1028" w:rsidRDefault="00E806E4" w:rsidP="00060780">
      <w:pPr>
        <w:pStyle w:val="FootnoteText"/>
        <w:jc w:val="both"/>
        <w:rPr>
          <w:rFonts w:ascii="Times New Roman" w:hAnsi="Times New Roman" w:cs="Times New Roman"/>
        </w:rPr>
      </w:pPr>
      <w:r w:rsidRPr="0017518D">
        <w:rPr>
          <w:rStyle w:val="FootnoteReference"/>
          <w:rFonts w:ascii="Times New Roman" w:hAnsi="Times New Roman" w:cs="Times New Roman"/>
        </w:rPr>
        <w:footnoteRef/>
      </w:r>
      <w:r w:rsidRPr="0017518D">
        <w:rPr>
          <w:rFonts w:ascii="Times New Roman" w:hAnsi="Times New Roman" w:cs="Times New Roman"/>
        </w:rPr>
        <w:t xml:space="preserve"> Maksātnespējas likuma 65. panta </w:t>
      </w:r>
      <w:r w:rsidR="00E239AE" w:rsidRPr="003D1028">
        <w:rPr>
          <w:rFonts w:ascii="Times New Roman" w:hAnsi="Times New Roman" w:cs="Times New Roman"/>
        </w:rPr>
        <w:t>9. punkts</w:t>
      </w:r>
      <w:r w:rsidR="00B3477A">
        <w:rPr>
          <w:rFonts w:ascii="Times New Roman" w:hAnsi="Times New Roman" w:cs="Times New Roman"/>
        </w:rPr>
        <w:t>.</w:t>
      </w:r>
    </w:p>
  </w:footnote>
  <w:footnote w:id="17">
    <w:p w14:paraId="091557C7" w14:textId="695A2AFF" w:rsidR="003D7239" w:rsidRDefault="003D7239" w:rsidP="00060780">
      <w:pPr>
        <w:pStyle w:val="FootnoteText"/>
        <w:jc w:val="both"/>
      </w:pPr>
      <w:r>
        <w:rPr>
          <w:rStyle w:val="FootnoteReference"/>
        </w:rPr>
        <w:footnoteRef/>
      </w:r>
      <w:r>
        <w:t xml:space="preserve"> </w:t>
      </w:r>
      <w:r w:rsidR="009B2258" w:rsidRPr="003D1028">
        <w:rPr>
          <w:rFonts w:ascii="Times New Roman" w:hAnsi="Times New Roman" w:cs="Times New Roman"/>
        </w:rPr>
        <w:t xml:space="preserve">Maksātnespējas likuma </w:t>
      </w:r>
      <w:r w:rsidR="009B2258">
        <w:rPr>
          <w:rFonts w:ascii="Times New Roman" w:hAnsi="Times New Roman" w:cs="Times New Roman"/>
        </w:rPr>
        <w:t>72.</w:t>
      </w:r>
      <w:r w:rsidR="009B2258" w:rsidRPr="0026791E">
        <w:rPr>
          <w:rFonts w:ascii="Times New Roman" w:hAnsi="Times New Roman" w:cs="Times New Roman"/>
          <w:vertAlign w:val="superscript"/>
        </w:rPr>
        <w:t>1</w:t>
      </w:r>
      <w:r w:rsidR="009B2258">
        <w:rPr>
          <w:rFonts w:ascii="Times New Roman" w:hAnsi="Times New Roman" w:cs="Times New Roman"/>
        </w:rPr>
        <w:t> </w:t>
      </w:r>
      <w:r w:rsidR="009B2258" w:rsidRPr="003D1028">
        <w:rPr>
          <w:rFonts w:ascii="Times New Roman" w:hAnsi="Times New Roman" w:cs="Times New Roman"/>
        </w:rPr>
        <w:t xml:space="preserve">panta </w:t>
      </w:r>
      <w:r w:rsidR="009B2258">
        <w:rPr>
          <w:rFonts w:ascii="Times New Roman" w:hAnsi="Times New Roman" w:cs="Times New Roman"/>
        </w:rPr>
        <w:t xml:space="preserve">otrā </w:t>
      </w:r>
      <w:r w:rsidR="009B2258" w:rsidRPr="003D1028">
        <w:rPr>
          <w:rFonts w:ascii="Times New Roman" w:hAnsi="Times New Roman" w:cs="Times New Roman"/>
        </w:rPr>
        <w:t>daļa</w:t>
      </w:r>
      <w:r w:rsidR="00B3477A">
        <w:rPr>
          <w:rFonts w:ascii="Times New Roman" w:hAnsi="Times New Roman" w:cs="Times New Roman"/>
        </w:rPr>
        <w:t>.</w:t>
      </w:r>
    </w:p>
  </w:footnote>
  <w:footnote w:id="18">
    <w:p w14:paraId="13726728" w14:textId="55DF9F87" w:rsidR="00657787" w:rsidRPr="00C27C74" w:rsidRDefault="00657787" w:rsidP="00092F78">
      <w:pPr>
        <w:pStyle w:val="FootnoteText"/>
        <w:jc w:val="both"/>
      </w:pPr>
      <w:r>
        <w:rPr>
          <w:rStyle w:val="FootnoteReference"/>
        </w:rPr>
        <w:footnoteRef/>
      </w:r>
      <w:r w:rsidR="00D92C84">
        <w:t> </w:t>
      </w:r>
      <w:r w:rsidR="00C27C74" w:rsidRPr="00C27C74">
        <w:rPr>
          <w:rFonts w:ascii="Times New Roman" w:eastAsia="Times New Roman" w:hAnsi="Times New Roman" w:cs="Times New Roman"/>
          <w:lang w:eastAsia="lv-LV"/>
        </w:rPr>
        <w:t>Apvienoto Nāciju Organizācijas Starptautisko tirdzniecības tiesību komiteja (UNCITRAL)</w:t>
      </w:r>
      <w:r w:rsidR="000005D1">
        <w:rPr>
          <w:rFonts w:ascii="Times New Roman" w:eastAsia="Times New Roman" w:hAnsi="Times New Roman" w:cs="Times New Roman"/>
          <w:lang w:eastAsia="lv-LV"/>
        </w:rPr>
        <w:t>.</w:t>
      </w:r>
      <w:r w:rsidR="00060780">
        <w:rPr>
          <w:rFonts w:ascii="Times New Roman" w:eastAsia="Times New Roman" w:hAnsi="Times New Roman" w:cs="Times New Roman"/>
          <w:lang w:eastAsia="lv-LV"/>
        </w:rPr>
        <w:t xml:space="preserve"> V</w:t>
      </w:r>
      <w:r w:rsidR="00C27C74" w:rsidRPr="00C27C74">
        <w:rPr>
          <w:rFonts w:ascii="Times New Roman" w:eastAsia="Times New Roman" w:hAnsi="Times New Roman" w:cs="Times New Roman"/>
          <w:lang w:eastAsia="lv-LV"/>
        </w:rPr>
        <w:t>adlīnijas maksātnespējas tiesību politikas veidotājiem</w:t>
      </w:r>
      <w:r w:rsidR="000005D1">
        <w:rPr>
          <w:rFonts w:ascii="Times New Roman" w:eastAsia="Times New Roman" w:hAnsi="Times New Roman" w:cs="Times New Roman"/>
          <w:lang w:eastAsia="lv-LV"/>
        </w:rPr>
        <w:t xml:space="preserve">, </w:t>
      </w:r>
      <w:r w:rsidR="000005D1" w:rsidRPr="000005D1">
        <w:rPr>
          <w:rFonts w:ascii="Times New Roman" w:eastAsia="Times New Roman" w:hAnsi="Times New Roman" w:cs="Times New Roman"/>
          <w:lang w:eastAsia="lv-LV"/>
        </w:rPr>
        <w:t>Ņujorka, 2005.</w:t>
      </w:r>
      <w:r w:rsidR="00060780">
        <w:rPr>
          <w:rFonts w:ascii="Times New Roman" w:eastAsia="Times New Roman" w:hAnsi="Times New Roman" w:cs="Times New Roman"/>
          <w:lang w:eastAsia="lv-LV"/>
        </w:rPr>
        <w:t> </w:t>
      </w:r>
      <w:r w:rsidR="000005D1" w:rsidRPr="000005D1">
        <w:rPr>
          <w:rFonts w:ascii="Times New Roman" w:eastAsia="Times New Roman" w:hAnsi="Times New Roman" w:cs="Times New Roman"/>
          <w:lang w:eastAsia="lv-LV"/>
        </w:rPr>
        <w:t>gads</w:t>
      </w:r>
      <w:r w:rsidR="00060780">
        <w:rPr>
          <w:rFonts w:ascii="Times New Roman" w:eastAsia="Times New Roman" w:hAnsi="Times New Roman" w:cs="Times New Roman"/>
          <w:lang w:eastAsia="lv-LV"/>
        </w:rPr>
        <w:t xml:space="preserve">, 151. punkts </w:t>
      </w:r>
      <w:r w:rsidR="009F3B1F">
        <w:rPr>
          <w:rFonts w:ascii="Times New Roman" w:eastAsia="Times New Roman" w:hAnsi="Times New Roman" w:cs="Times New Roman"/>
          <w:lang w:eastAsia="lv-LV"/>
        </w:rPr>
        <w:t>129. lpp</w:t>
      </w:r>
      <w:r w:rsidR="00092F78">
        <w:rPr>
          <w:rFonts w:ascii="Times New Roman" w:eastAsia="Times New Roman" w:hAnsi="Times New Roman" w:cs="Times New Roman"/>
          <w:lang w:eastAsia="lv-LV"/>
        </w:rPr>
        <w:t xml:space="preserve">. Pieejams: </w:t>
      </w:r>
      <w:r w:rsidR="00092F78" w:rsidRPr="00092F78">
        <w:rPr>
          <w:rFonts w:ascii="Times New Roman" w:eastAsia="Times New Roman" w:hAnsi="Times New Roman" w:cs="Times New Roman"/>
          <w:lang w:eastAsia="lv-LV"/>
        </w:rPr>
        <w:t>https://www.vvc.gov.lv/en/international-law/uncitral-legislative-guide-insolvency-law</w:t>
      </w:r>
      <w:r w:rsidR="00B3477A">
        <w:rPr>
          <w:rFonts w:ascii="Times New Roman" w:eastAsia="Times New Roman" w:hAnsi="Times New Roman" w:cs="Times New Roman"/>
          <w:lang w:eastAsia="lv-LV"/>
        </w:rPr>
        <w:t>.</w:t>
      </w:r>
    </w:p>
  </w:footnote>
  <w:footnote w:id="19">
    <w:p w14:paraId="763FDCD3" w14:textId="15C39448" w:rsidR="00D92C84" w:rsidRPr="00D92C84" w:rsidRDefault="00D92C84" w:rsidP="00D92C84">
      <w:pPr>
        <w:pStyle w:val="FootnoteText"/>
        <w:jc w:val="both"/>
        <w:rPr>
          <w:rFonts w:ascii="Times New Roman" w:hAnsi="Times New Roman" w:cs="Times New Roman"/>
        </w:rPr>
      </w:pPr>
      <w:r>
        <w:rPr>
          <w:rStyle w:val="FootnoteReference"/>
        </w:rPr>
        <w:footnoteRef/>
      </w:r>
      <w:r>
        <w:t xml:space="preserve"> </w:t>
      </w:r>
      <w:r w:rsidRPr="006C5752">
        <w:rPr>
          <w:rFonts w:ascii="Times New Roman" w:hAnsi="Times New Roman" w:cs="Times New Roman"/>
        </w:rPr>
        <w:t>Augstākās tiesas Civillietu departamenta 2015.</w:t>
      </w:r>
      <w:r w:rsidR="0087072C">
        <w:rPr>
          <w:rFonts w:ascii="Times New Roman" w:hAnsi="Times New Roman" w:cs="Times New Roman"/>
        </w:rPr>
        <w:t> </w:t>
      </w:r>
      <w:r w:rsidRPr="006C5752">
        <w:rPr>
          <w:rFonts w:ascii="Times New Roman" w:hAnsi="Times New Roman" w:cs="Times New Roman"/>
        </w:rPr>
        <w:t>gada 23.</w:t>
      </w:r>
      <w:r w:rsidR="0087072C">
        <w:rPr>
          <w:rFonts w:ascii="Times New Roman" w:hAnsi="Times New Roman" w:cs="Times New Roman"/>
        </w:rPr>
        <w:t> </w:t>
      </w:r>
      <w:r w:rsidRPr="006C5752">
        <w:rPr>
          <w:rFonts w:ascii="Times New Roman" w:hAnsi="Times New Roman" w:cs="Times New Roman"/>
        </w:rPr>
        <w:t>marta spriedum</w:t>
      </w:r>
      <w:r w:rsidR="0087072C">
        <w:rPr>
          <w:rFonts w:ascii="Times New Roman" w:hAnsi="Times New Roman" w:cs="Times New Roman"/>
        </w:rPr>
        <w:t>s</w:t>
      </w:r>
      <w:r w:rsidRPr="006C5752">
        <w:rPr>
          <w:rFonts w:ascii="Times New Roman" w:hAnsi="Times New Roman" w:cs="Times New Roman"/>
        </w:rPr>
        <w:t xml:space="preserve"> lietā Nr.C16099809</w:t>
      </w:r>
      <w:r w:rsidR="001342F6">
        <w:rPr>
          <w:rFonts w:ascii="Times New Roman" w:hAnsi="Times New Roman" w:cs="Times New Roman"/>
        </w:rPr>
        <w:t xml:space="preserve">, </w:t>
      </w:r>
      <w:r w:rsidRPr="006C5752">
        <w:rPr>
          <w:rFonts w:ascii="Times New Roman" w:hAnsi="Times New Roman" w:cs="Times New Roman"/>
        </w:rPr>
        <w:t>SKC-20/2015</w:t>
      </w:r>
    </w:p>
  </w:footnote>
  <w:footnote w:id="20">
    <w:p w14:paraId="34B2F2E9" w14:textId="5C6205BD" w:rsidR="006E6446" w:rsidRPr="00CB25D4" w:rsidRDefault="006E6446">
      <w:pPr>
        <w:pStyle w:val="FootnoteText"/>
        <w:rPr>
          <w:rFonts w:ascii="Times New Roman" w:hAnsi="Times New Roman" w:cs="Times New Roman"/>
        </w:rPr>
      </w:pPr>
      <w:r>
        <w:rPr>
          <w:rStyle w:val="FootnoteReference"/>
        </w:rPr>
        <w:footnoteRef/>
      </w:r>
      <w:r>
        <w:t xml:space="preserve"> </w:t>
      </w:r>
      <w:r w:rsidRPr="00CB25D4">
        <w:rPr>
          <w:rFonts w:ascii="Times New Roman" w:hAnsi="Times New Roman" w:cs="Times New Roman"/>
        </w:rPr>
        <w:t xml:space="preserve">Civilprocesa likuma </w:t>
      </w:r>
      <w:r w:rsidR="00CB25D4" w:rsidRPr="00CB25D4">
        <w:rPr>
          <w:rFonts w:ascii="Times New Roman" w:hAnsi="Times New Roman" w:cs="Times New Roman"/>
        </w:rPr>
        <w:t>226. pants</w:t>
      </w:r>
      <w:r w:rsidR="002A3DEE">
        <w:rPr>
          <w:rFonts w:ascii="Times New Roman" w:hAnsi="Times New Roman" w:cs="Times New Roman"/>
        </w:rPr>
        <w:t>.</w:t>
      </w:r>
    </w:p>
  </w:footnote>
  <w:footnote w:id="21">
    <w:p w14:paraId="10919489" w14:textId="378302E5" w:rsidR="00E45CB0" w:rsidRPr="002D5822" w:rsidRDefault="00E45CB0">
      <w:pPr>
        <w:pStyle w:val="FootnoteText"/>
        <w:rPr>
          <w:rFonts w:ascii="Times New Roman" w:hAnsi="Times New Roman" w:cs="Times New Roman"/>
        </w:rPr>
      </w:pPr>
      <w:r>
        <w:rPr>
          <w:rStyle w:val="FootnoteReference"/>
        </w:rPr>
        <w:footnoteRef/>
      </w:r>
      <w:r>
        <w:t xml:space="preserve"> </w:t>
      </w:r>
      <w:r w:rsidR="002D5822" w:rsidRPr="002D5822">
        <w:rPr>
          <w:rFonts w:ascii="Times New Roman" w:hAnsi="Times New Roman" w:cs="Times New Roman"/>
        </w:rPr>
        <w:t>Civillikuma 1881.</w:t>
      </w:r>
      <w:r w:rsidR="002D5822">
        <w:rPr>
          <w:rFonts w:ascii="Times New Roman" w:hAnsi="Times New Roman" w:cs="Times New Roman"/>
        </w:rPr>
        <w:t> </w:t>
      </w:r>
      <w:r w:rsidR="002D5822" w:rsidRPr="002D5822">
        <w:rPr>
          <w:rFonts w:ascii="Times New Roman" w:hAnsi="Times New Roman" w:cs="Times New Roman"/>
        </w:rPr>
        <w:t>pant</w:t>
      </w:r>
      <w:r w:rsidR="002D5822">
        <w:rPr>
          <w:rFonts w:ascii="Times New Roman" w:hAnsi="Times New Roman" w:cs="Times New Roman"/>
        </w:rPr>
        <w:t>s</w:t>
      </w:r>
      <w:r w:rsidR="002A3DEE">
        <w:rPr>
          <w:rFonts w:ascii="Times New Roman" w:hAnsi="Times New Roman" w:cs="Times New Roman"/>
        </w:rPr>
        <w:t>.</w:t>
      </w:r>
      <w:r w:rsidR="002D5822">
        <w:rPr>
          <w:rFonts w:ascii="Times New Roman" w:hAnsi="Times New Roman" w:cs="Times New Roman"/>
        </w:rPr>
        <w:t xml:space="preserve"> </w:t>
      </w:r>
    </w:p>
  </w:footnote>
  <w:footnote w:id="22">
    <w:p w14:paraId="35F3146F" w14:textId="3812DFDC" w:rsidR="00A771E6" w:rsidRPr="00AA7D03" w:rsidRDefault="00A771E6">
      <w:pPr>
        <w:pStyle w:val="FootnoteText"/>
        <w:rPr>
          <w:rFonts w:ascii="Times New Roman" w:hAnsi="Times New Roman" w:cs="Times New Roman"/>
        </w:rPr>
      </w:pPr>
      <w:r w:rsidRPr="00AA7D03">
        <w:rPr>
          <w:rStyle w:val="FootnoteReference"/>
          <w:rFonts w:ascii="Times New Roman" w:hAnsi="Times New Roman" w:cs="Times New Roman"/>
        </w:rPr>
        <w:footnoteRef/>
      </w:r>
      <w:r w:rsidRPr="00AA7D03">
        <w:rPr>
          <w:rFonts w:ascii="Times New Roman" w:hAnsi="Times New Roman" w:cs="Times New Roman"/>
        </w:rPr>
        <w:t xml:space="preserve"> </w:t>
      </w:r>
      <w:r w:rsidR="00AA7D03" w:rsidRPr="00AA7D03">
        <w:rPr>
          <w:rFonts w:ascii="Times New Roman" w:hAnsi="Times New Roman" w:cs="Times New Roman"/>
        </w:rPr>
        <w:t>Maksātnespējas likuma 73. panta devītā daļa</w:t>
      </w:r>
      <w:r w:rsidR="002A3DEE">
        <w:rPr>
          <w:rFonts w:ascii="Times New Roman" w:hAnsi="Times New Roman" w:cs="Times New Roman"/>
        </w:rPr>
        <w:t>.</w:t>
      </w:r>
    </w:p>
  </w:footnote>
  <w:footnote w:id="23">
    <w:p w14:paraId="531A27CB" w14:textId="4722DE80" w:rsidR="0012404C" w:rsidRPr="001B212C" w:rsidRDefault="0012404C">
      <w:pPr>
        <w:pStyle w:val="FootnoteText"/>
        <w:rPr>
          <w:rFonts w:ascii="Times New Roman" w:hAnsi="Times New Roman" w:cs="Times New Roman"/>
        </w:rPr>
      </w:pPr>
      <w:r>
        <w:rPr>
          <w:rStyle w:val="FootnoteReference"/>
        </w:rPr>
        <w:footnoteRef/>
      </w:r>
      <w:r>
        <w:t xml:space="preserve"> </w:t>
      </w:r>
      <w:bookmarkStart w:id="10" w:name="_Hlk188356492"/>
      <w:r w:rsidRPr="001B212C">
        <w:rPr>
          <w:rFonts w:ascii="Times New Roman" w:hAnsi="Times New Roman" w:cs="Times New Roman"/>
        </w:rPr>
        <w:t xml:space="preserve">Maksātnespējas likuma </w:t>
      </w:r>
      <w:r w:rsidR="006857DB">
        <w:rPr>
          <w:rFonts w:ascii="Times New Roman" w:hAnsi="Times New Roman" w:cs="Times New Roman"/>
        </w:rPr>
        <w:t xml:space="preserve">81. panta </w:t>
      </w:r>
      <w:r w:rsidR="001B212C" w:rsidRPr="001B212C">
        <w:rPr>
          <w:rFonts w:ascii="Times New Roman" w:hAnsi="Times New Roman" w:cs="Times New Roman"/>
        </w:rPr>
        <w:t>pirmās daļas 7. punkts</w:t>
      </w:r>
      <w:r w:rsidR="002A3DEE">
        <w:rPr>
          <w:rFonts w:ascii="Times New Roman" w:hAnsi="Times New Roman" w:cs="Times New Roman"/>
        </w:rPr>
        <w:t>.</w:t>
      </w:r>
      <w:r w:rsidR="001B212C" w:rsidRPr="001B212C">
        <w:rPr>
          <w:rFonts w:ascii="Times New Roman" w:hAnsi="Times New Roman" w:cs="Times New Roman"/>
        </w:rPr>
        <w:t xml:space="preserve"> </w:t>
      </w:r>
      <w:bookmarkEnd w:id="10"/>
    </w:p>
  </w:footnote>
  <w:footnote w:id="24">
    <w:p w14:paraId="22C1BD8F" w14:textId="289F2B27" w:rsidR="002F1316" w:rsidRDefault="002F1316">
      <w:pPr>
        <w:pStyle w:val="FootnoteText"/>
      </w:pPr>
      <w:r>
        <w:rPr>
          <w:rStyle w:val="FootnoteReference"/>
        </w:rPr>
        <w:footnoteRef/>
      </w:r>
      <w:r>
        <w:t xml:space="preserve"> </w:t>
      </w:r>
      <w:r w:rsidR="006B1B53" w:rsidRPr="0009085E">
        <w:rPr>
          <w:rFonts w:ascii="Times New Roman" w:hAnsi="Times New Roman" w:cs="Times New Roman"/>
        </w:rPr>
        <w:t>Maksātnespējas likuma 6. panta 6</w:t>
      </w:r>
      <w:r w:rsidR="0009085E" w:rsidRPr="0009085E">
        <w:rPr>
          <w:rFonts w:ascii="Times New Roman" w:hAnsi="Times New Roman" w:cs="Times New Roman"/>
        </w:rPr>
        <w:t>. punkts</w:t>
      </w:r>
    </w:p>
  </w:footnote>
  <w:footnote w:id="25">
    <w:p w14:paraId="185C0FAF" w14:textId="77BE1C6F" w:rsidR="002001B8" w:rsidRPr="00F32C90" w:rsidRDefault="002001B8">
      <w:pPr>
        <w:pStyle w:val="FootnoteText"/>
        <w:rPr>
          <w:rFonts w:ascii="Times New Roman" w:hAnsi="Times New Roman" w:cs="Times New Roman"/>
        </w:rPr>
      </w:pPr>
      <w:r>
        <w:rPr>
          <w:rStyle w:val="FootnoteReference"/>
        </w:rPr>
        <w:footnoteRef/>
      </w:r>
      <w:r>
        <w:t xml:space="preserve"> </w:t>
      </w:r>
      <w:r w:rsidR="000B7849" w:rsidRPr="00F32C90">
        <w:rPr>
          <w:rFonts w:ascii="Times New Roman" w:hAnsi="Times New Roman" w:cs="Times New Roman"/>
        </w:rPr>
        <w:t>Uzņēmumu ienākuma nodokļa likum</w:t>
      </w:r>
      <w:r w:rsidR="00B97F22" w:rsidRPr="00F32C90">
        <w:rPr>
          <w:rFonts w:ascii="Times New Roman" w:hAnsi="Times New Roman" w:cs="Times New Roman"/>
        </w:rPr>
        <w:t>a 9. panta</w:t>
      </w:r>
      <w:r w:rsidR="00F32C90" w:rsidRPr="00F32C90">
        <w:rPr>
          <w:rFonts w:ascii="Times New Roman" w:hAnsi="Times New Roman" w:cs="Times New Roman"/>
        </w:rPr>
        <w:t xml:space="preserve"> trešās daļas 10. punkts</w:t>
      </w:r>
    </w:p>
  </w:footnote>
  <w:footnote w:id="26">
    <w:p w14:paraId="522B997D" w14:textId="6D25CA00" w:rsidR="00C60AFD" w:rsidRPr="0007002C" w:rsidRDefault="00C60AFD">
      <w:pPr>
        <w:pStyle w:val="FootnoteText"/>
        <w:rPr>
          <w:rFonts w:ascii="Times New Roman" w:hAnsi="Times New Roman" w:cs="Times New Roman"/>
        </w:rPr>
      </w:pPr>
      <w:r>
        <w:rPr>
          <w:rStyle w:val="FootnoteReference"/>
        </w:rPr>
        <w:footnoteRef/>
      </w:r>
      <w:r>
        <w:t xml:space="preserve"> </w:t>
      </w:r>
      <w:r w:rsidR="008F6201" w:rsidRPr="0007002C">
        <w:rPr>
          <w:rFonts w:ascii="Times New Roman" w:hAnsi="Times New Roman" w:cs="Times New Roman"/>
        </w:rPr>
        <w:t>Pievienotās vērtības nodokļa likuma 105.</w:t>
      </w:r>
      <w:r w:rsidR="00774D27" w:rsidRPr="0007002C">
        <w:rPr>
          <w:rFonts w:ascii="Times New Roman" w:hAnsi="Times New Roman" w:cs="Times New Roman"/>
        </w:rPr>
        <w:t> </w:t>
      </w:r>
      <w:r w:rsidR="008F6201" w:rsidRPr="0007002C">
        <w:rPr>
          <w:rFonts w:ascii="Times New Roman" w:hAnsi="Times New Roman" w:cs="Times New Roman"/>
        </w:rPr>
        <w:t xml:space="preserve">panta </w:t>
      </w:r>
      <w:r w:rsidR="00756ED5" w:rsidRPr="0007002C">
        <w:rPr>
          <w:rFonts w:ascii="Times New Roman" w:hAnsi="Times New Roman" w:cs="Times New Roman"/>
        </w:rPr>
        <w:t xml:space="preserve">astotā </w:t>
      </w:r>
      <w:r w:rsidR="008F6201" w:rsidRPr="0007002C">
        <w:rPr>
          <w:rFonts w:ascii="Times New Roman" w:hAnsi="Times New Roman" w:cs="Times New Roman"/>
        </w:rPr>
        <w:t>daļa</w:t>
      </w:r>
    </w:p>
  </w:footnote>
  <w:footnote w:id="27">
    <w:p w14:paraId="6B6DADDC" w14:textId="77777777" w:rsidR="00955CE0" w:rsidRPr="00AD3176" w:rsidRDefault="00955CE0" w:rsidP="00955CE0">
      <w:pPr>
        <w:pStyle w:val="FootnoteText"/>
        <w:rPr>
          <w:rFonts w:ascii="Times New Roman" w:hAnsi="Times New Roman" w:cs="Times New Roman"/>
        </w:rPr>
      </w:pPr>
      <w:r w:rsidRPr="00AD3176">
        <w:rPr>
          <w:rStyle w:val="FootnoteReference"/>
          <w:rFonts w:ascii="Times New Roman" w:hAnsi="Times New Roman" w:cs="Times New Roman"/>
        </w:rPr>
        <w:footnoteRef/>
      </w:r>
      <w:r w:rsidRPr="00AD3176">
        <w:rPr>
          <w:rFonts w:ascii="Times New Roman" w:hAnsi="Times New Roman" w:cs="Times New Roman"/>
        </w:rPr>
        <w:t xml:space="preserve"> Maksātnespējas likuma 105. pants.</w:t>
      </w:r>
    </w:p>
  </w:footnote>
  <w:footnote w:id="28">
    <w:p w14:paraId="20C6EFDF" w14:textId="14C5438F" w:rsidR="00AC49E4" w:rsidRPr="00342A63" w:rsidRDefault="00AC49E4">
      <w:pPr>
        <w:pStyle w:val="FootnoteText"/>
        <w:rPr>
          <w:rFonts w:ascii="Times New Roman" w:hAnsi="Times New Roman" w:cs="Times New Roman"/>
        </w:rPr>
      </w:pPr>
      <w:r w:rsidRPr="00342A63">
        <w:rPr>
          <w:rStyle w:val="FootnoteReference"/>
          <w:rFonts w:ascii="Times New Roman" w:hAnsi="Times New Roman" w:cs="Times New Roman"/>
        </w:rPr>
        <w:footnoteRef/>
      </w:r>
      <w:r w:rsidRPr="00342A63">
        <w:rPr>
          <w:rFonts w:ascii="Times New Roman" w:hAnsi="Times New Roman" w:cs="Times New Roman"/>
        </w:rPr>
        <w:t xml:space="preserve"> Maksātnespējas likuma 26. panta </w:t>
      </w:r>
      <w:r w:rsidR="0007002C" w:rsidRPr="00342A63">
        <w:rPr>
          <w:rFonts w:ascii="Times New Roman" w:hAnsi="Times New Roman" w:cs="Times New Roman"/>
        </w:rPr>
        <w:t xml:space="preserve">otrā daļā </w:t>
      </w:r>
      <w:r w:rsidRPr="00342A63">
        <w:rPr>
          <w:rFonts w:ascii="Times New Roman" w:hAnsi="Times New Roman" w:cs="Times New Roman"/>
        </w:rPr>
        <w:t xml:space="preserve">un </w:t>
      </w:r>
      <w:r w:rsidR="0007002C" w:rsidRPr="00342A63">
        <w:rPr>
          <w:rFonts w:ascii="Times New Roman" w:hAnsi="Times New Roman" w:cs="Times New Roman"/>
        </w:rPr>
        <w:t>111. panta otrā daļa</w:t>
      </w:r>
      <w:r w:rsidR="003D6C9A" w:rsidRPr="00342A63">
        <w:rPr>
          <w:rFonts w:ascii="Times New Roman" w:hAnsi="Times New Roman" w:cs="Times New Roman"/>
        </w:rPr>
        <w:t>.</w:t>
      </w:r>
      <w:r w:rsidR="0007002C" w:rsidRPr="00342A63">
        <w:rPr>
          <w:rFonts w:ascii="Times New Roman" w:hAnsi="Times New Roman" w:cs="Times New Roman"/>
        </w:rPr>
        <w:t xml:space="preserve"> </w:t>
      </w:r>
    </w:p>
  </w:footnote>
  <w:footnote w:id="29">
    <w:p w14:paraId="18C4BE46" w14:textId="6EBD7D38" w:rsidR="000850D1" w:rsidRPr="00342A63" w:rsidRDefault="000850D1">
      <w:pPr>
        <w:pStyle w:val="FootnoteText"/>
        <w:rPr>
          <w:rFonts w:ascii="Times New Roman" w:hAnsi="Times New Roman" w:cs="Times New Roman"/>
        </w:rPr>
      </w:pPr>
      <w:r w:rsidRPr="00342A63">
        <w:rPr>
          <w:rStyle w:val="FootnoteReference"/>
          <w:rFonts w:ascii="Times New Roman" w:hAnsi="Times New Roman" w:cs="Times New Roman"/>
        </w:rPr>
        <w:footnoteRef/>
      </w:r>
      <w:r w:rsidRPr="00342A63">
        <w:rPr>
          <w:rFonts w:ascii="Times New Roman" w:hAnsi="Times New Roman" w:cs="Times New Roman"/>
        </w:rPr>
        <w:t xml:space="preserve"> </w:t>
      </w:r>
      <w:r w:rsidR="00242D3B" w:rsidRPr="00342A63">
        <w:rPr>
          <w:rFonts w:ascii="Times New Roman" w:hAnsi="Times New Roman" w:cs="Times New Roman"/>
        </w:rPr>
        <w:t>https://www.mkd.gov.lv/lv/informativie-materiali</w:t>
      </w:r>
      <w:r w:rsidR="003D6C9A" w:rsidRPr="00342A63">
        <w:rPr>
          <w:rFonts w:ascii="Times New Roman" w:hAnsi="Times New Roman" w:cs="Times New Roman"/>
        </w:rPr>
        <w:t>.</w:t>
      </w:r>
      <w:r w:rsidR="00242D3B" w:rsidRPr="00342A63">
        <w:rPr>
          <w:rFonts w:ascii="Times New Roman" w:hAnsi="Times New Roman" w:cs="Times New Roman"/>
        </w:rPr>
        <w:t xml:space="preserve"> </w:t>
      </w:r>
    </w:p>
  </w:footnote>
  <w:footnote w:id="30">
    <w:p w14:paraId="4C545DAB" w14:textId="6E8DDA2C" w:rsidR="001C431D" w:rsidRPr="00342A63" w:rsidRDefault="001C431D" w:rsidP="00565CFF">
      <w:pPr>
        <w:pStyle w:val="FootnoteText"/>
        <w:rPr>
          <w:rFonts w:ascii="Times New Roman" w:hAnsi="Times New Roman" w:cs="Times New Roman"/>
        </w:rPr>
      </w:pPr>
      <w:r w:rsidRPr="00342A63">
        <w:rPr>
          <w:rStyle w:val="FootnoteReference"/>
          <w:rFonts w:ascii="Times New Roman" w:hAnsi="Times New Roman" w:cs="Times New Roman"/>
        </w:rPr>
        <w:footnoteRef/>
      </w:r>
      <w:r w:rsidRPr="00342A63">
        <w:rPr>
          <w:rFonts w:ascii="Times New Roman" w:hAnsi="Times New Roman" w:cs="Times New Roman"/>
        </w:rPr>
        <w:t xml:space="preserve"> Maksātnespējas likuma </w:t>
      </w:r>
      <w:r w:rsidR="00CC4056" w:rsidRPr="00342A63">
        <w:rPr>
          <w:rFonts w:ascii="Times New Roman" w:hAnsi="Times New Roman" w:cs="Times New Roman"/>
        </w:rPr>
        <w:t xml:space="preserve">112. panta pirmās daļas 1. punkts un </w:t>
      </w:r>
      <w:r w:rsidR="006F23AC" w:rsidRPr="00342A63">
        <w:rPr>
          <w:rFonts w:ascii="Times New Roman" w:hAnsi="Times New Roman" w:cs="Times New Roman"/>
        </w:rPr>
        <w:t>113</w:t>
      </w:r>
      <w:r w:rsidRPr="00342A63">
        <w:rPr>
          <w:rFonts w:ascii="Times New Roman" w:hAnsi="Times New Roman" w:cs="Times New Roman"/>
        </w:rPr>
        <w:t xml:space="preserve">. panta pirmās daļas </w:t>
      </w:r>
      <w:r w:rsidR="006F23AC" w:rsidRPr="00342A63">
        <w:rPr>
          <w:rFonts w:ascii="Times New Roman" w:hAnsi="Times New Roman" w:cs="Times New Roman"/>
        </w:rPr>
        <w:t>9</w:t>
      </w:r>
      <w:r w:rsidRPr="00342A63">
        <w:rPr>
          <w:rFonts w:ascii="Times New Roman" w:hAnsi="Times New Roman" w:cs="Times New Roman"/>
        </w:rPr>
        <w:t>. punkts</w:t>
      </w:r>
    </w:p>
  </w:footnote>
  <w:footnote w:id="31">
    <w:p w14:paraId="4AEA328B" w14:textId="7679B6FD" w:rsidR="006E49B5" w:rsidRPr="00342A63" w:rsidRDefault="006E49B5" w:rsidP="00565CFF">
      <w:pPr>
        <w:pStyle w:val="FootnoteText"/>
        <w:rPr>
          <w:rFonts w:ascii="Times New Roman" w:hAnsi="Times New Roman" w:cs="Times New Roman"/>
        </w:rPr>
      </w:pPr>
      <w:r w:rsidRPr="00342A63">
        <w:rPr>
          <w:rStyle w:val="FootnoteReference"/>
          <w:rFonts w:ascii="Times New Roman" w:hAnsi="Times New Roman" w:cs="Times New Roman"/>
        </w:rPr>
        <w:footnoteRef/>
      </w:r>
      <w:r w:rsidRPr="00342A63">
        <w:rPr>
          <w:rFonts w:ascii="Times New Roman" w:hAnsi="Times New Roman" w:cs="Times New Roman"/>
        </w:rPr>
        <w:t xml:space="preserve"> </w:t>
      </w:r>
      <w:r w:rsidR="006857DB" w:rsidRPr="00342A63">
        <w:rPr>
          <w:rFonts w:ascii="Times New Roman" w:hAnsi="Times New Roman" w:cs="Times New Roman"/>
        </w:rPr>
        <w:t>Maksātnespējas likuma 81. panta pirmās daļas 7. punkts</w:t>
      </w:r>
      <w:r w:rsidR="003D6C9A" w:rsidRPr="00342A63">
        <w:rPr>
          <w:rFonts w:ascii="Times New Roman" w:hAnsi="Times New Roman" w:cs="Times New Roman"/>
        </w:rPr>
        <w:t>.</w:t>
      </w:r>
    </w:p>
  </w:footnote>
  <w:footnote w:id="32">
    <w:p w14:paraId="57390F57" w14:textId="173FB0E3" w:rsidR="00565CFF" w:rsidRPr="00342A63" w:rsidRDefault="00565CFF" w:rsidP="00AF7437">
      <w:pPr>
        <w:autoSpaceDE w:val="0"/>
        <w:autoSpaceDN w:val="0"/>
        <w:adjustRightInd w:val="0"/>
        <w:spacing w:after="0" w:line="240" w:lineRule="auto"/>
        <w:jc w:val="both"/>
        <w:rPr>
          <w:rFonts w:ascii="Times New Roman" w:hAnsi="Times New Roman" w:cs="Times New Roman"/>
        </w:rPr>
      </w:pPr>
      <w:r w:rsidRPr="00342A63">
        <w:rPr>
          <w:rStyle w:val="FootnoteReference"/>
          <w:rFonts w:ascii="Times New Roman" w:hAnsi="Times New Roman" w:cs="Times New Roman"/>
          <w:sz w:val="20"/>
          <w:szCs w:val="20"/>
        </w:rPr>
        <w:footnoteRef/>
      </w:r>
      <w:r w:rsidRPr="00342A63">
        <w:rPr>
          <w:rFonts w:ascii="Times New Roman" w:hAnsi="Times New Roman" w:cs="Times New Roman"/>
        </w:rPr>
        <w:t xml:space="preserve"> </w:t>
      </w:r>
      <w:r w:rsidRPr="00342A63">
        <w:rPr>
          <w:rFonts w:ascii="Times New Roman" w:eastAsia="Times New Roman" w:hAnsi="Times New Roman" w:cs="Times New Roman"/>
          <w:sz w:val="20"/>
          <w:szCs w:val="20"/>
        </w:rPr>
        <w:t>Augstākās tiesas Senāta 2012. gada 8. februāra spriedums lietā Nr.SKC-39/2012.</w:t>
      </w:r>
    </w:p>
  </w:footnote>
  <w:footnote w:id="33">
    <w:p w14:paraId="63F01A53" w14:textId="1379FAD0" w:rsidR="00AF7437" w:rsidRPr="001A31D2" w:rsidRDefault="00AF7437">
      <w:pPr>
        <w:pStyle w:val="FootnoteText"/>
      </w:pPr>
      <w:r w:rsidRPr="00342A63">
        <w:rPr>
          <w:rStyle w:val="FootnoteReference"/>
          <w:rFonts w:ascii="Times New Roman" w:hAnsi="Times New Roman" w:cs="Times New Roman"/>
        </w:rPr>
        <w:footnoteRef/>
      </w:r>
      <w:r w:rsidRPr="00342A63">
        <w:rPr>
          <w:rFonts w:ascii="Times New Roman" w:hAnsi="Times New Roman" w:cs="Times New Roman"/>
        </w:rPr>
        <w:t xml:space="preserve"> </w:t>
      </w:r>
      <w:r w:rsidRPr="00342A63">
        <w:rPr>
          <w:rFonts w:ascii="Times New Roman" w:eastAsia="Times New Roman" w:hAnsi="Times New Roman" w:cs="Times New Roman"/>
        </w:rPr>
        <w:t>Maksātnespējas likuma 29. pants</w:t>
      </w:r>
    </w:p>
  </w:footnote>
  <w:footnote w:id="34">
    <w:p w14:paraId="19162EF9" w14:textId="4EA18BD7" w:rsidR="00D36CD4" w:rsidRPr="000C22D7" w:rsidRDefault="00D36CD4" w:rsidP="00685966">
      <w:pPr>
        <w:pStyle w:val="FootnoteText"/>
        <w:jc w:val="both"/>
        <w:rPr>
          <w:rFonts w:ascii="Times New Roman" w:hAnsi="Times New Roman" w:cs="Times New Roman"/>
        </w:rPr>
      </w:pPr>
      <w:r>
        <w:rPr>
          <w:rStyle w:val="FootnoteReference"/>
        </w:rPr>
        <w:footnoteRef/>
      </w:r>
      <w:r>
        <w:t xml:space="preserve"> </w:t>
      </w:r>
      <w:r w:rsidR="000C22D7" w:rsidRPr="000C22D7">
        <w:rPr>
          <w:rFonts w:ascii="Times New Roman" w:hAnsi="Times New Roman" w:cs="Times New Roman"/>
        </w:rPr>
        <w:t>No p</w:t>
      </w:r>
      <w:r w:rsidR="008C0419" w:rsidRPr="000C22D7">
        <w:rPr>
          <w:rFonts w:ascii="Times New Roman" w:hAnsi="Times New Roman" w:cs="Times New Roman"/>
        </w:rPr>
        <w:t xml:space="preserve">ētījuma ietvaros </w:t>
      </w:r>
      <w:r w:rsidR="00E8066F">
        <w:rPr>
          <w:rFonts w:ascii="Times New Roman" w:hAnsi="Times New Roman" w:cs="Times New Roman"/>
        </w:rPr>
        <w:t>analizētajiem</w:t>
      </w:r>
      <w:r w:rsidR="00267C7A">
        <w:rPr>
          <w:rFonts w:ascii="Times New Roman" w:hAnsi="Times New Roman" w:cs="Times New Roman"/>
        </w:rPr>
        <w:t xml:space="preserve"> 241</w:t>
      </w:r>
      <w:r w:rsidR="00E8066F">
        <w:rPr>
          <w:rFonts w:ascii="Times New Roman" w:hAnsi="Times New Roman" w:cs="Times New Roman"/>
        </w:rPr>
        <w:t xml:space="preserve"> </w:t>
      </w:r>
      <w:r w:rsidR="008C0419" w:rsidRPr="000C22D7">
        <w:rPr>
          <w:rFonts w:ascii="Times New Roman" w:hAnsi="Times New Roman" w:cs="Times New Roman"/>
        </w:rPr>
        <w:t>maksātnespējas proces</w:t>
      </w:r>
      <w:r w:rsidR="006B58DE">
        <w:rPr>
          <w:rFonts w:ascii="Times New Roman" w:hAnsi="Times New Roman" w:cs="Times New Roman"/>
        </w:rPr>
        <w:t>iem 240 gadījumos maksātnespējas procesa</w:t>
      </w:r>
      <w:r w:rsidR="008C0419" w:rsidRPr="000C22D7">
        <w:rPr>
          <w:rFonts w:ascii="Times New Roman" w:hAnsi="Times New Roman" w:cs="Times New Roman"/>
        </w:rPr>
        <w:t xml:space="preserve"> subjekti</w:t>
      </w:r>
      <w:r w:rsidR="006B58DE">
        <w:rPr>
          <w:rFonts w:ascii="Times New Roman" w:hAnsi="Times New Roman" w:cs="Times New Roman"/>
        </w:rPr>
        <w:t xml:space="preserve"> </w:t>
      </w:r>
      <w:r w:rsidR="00D422FA">
        <w:rPr>
          <w:rFonts w:ascii="Times New Roman" w:hAnsi="Times New Roman" w:cs="Times New Roman"/>
        </w:rPr>
        <w:t>bija</w:t>
      </w:r>
      <w:r w:rsidR="001A1184">
        <w:rPr>
          <w:rFonts w:ascii="Times New Roman" w:hAnsi="Times New Roman" w:cs="Times New Roman"/>
        </w:rPr>
        <w:t xml:space="preserve"> kapitālsabiedrības</w:t>
      </w:r>
      <w:r w:rsidR="00D422FA">
        <w:rPr>
          <w:rFonts w:ascii="Times New Roman" w:hAnsi="Times New Roman" w:cs="Times New Roman"/>
        </w:rPr>
        <w:t xml:space="preserve">, savukārt vienā gadījumā parādnieks ir bijis </w:t>
      </w:r>
      <w:r w:rsidR="00500805">
        <w:rPr>
          <w:rFonts w:ascii="Times New Roman" w:hAnsi="Times New Roman" w:cs="Times New Roman"/>
        </w:rPr>
        <w:t>individuālais komersants</w:t>
      </w:r>
      <w:r w:rsidR="00685966">
        <w:rPr>
          <w:rFonts w:ascii="Times New Roman" w:hAnsi="Times New Roman" w:cs="Times New Roman"/>
        </w:rPr>
        <w:t>.</w:t>
      </w:r>
    </w:p>
  </w:footnote>
  <w:footnote w:id="35">
    <w:p w14:paraId="1D76BC6A" w14:textId="267E906C" w:rsidR="002336C0" w:rsidRDefault="002336C0" w:rsidP="00685966">
      <w:pPr>
        <w:pStyle w:val="FootnoteText"/>
        <w:jc w:val="both"/>
      </w:pPr>
      <w:r w:rsidRPr="008C0419">
        <w:rPr>
          <w:rStyle w:val="FootnoteReference"/>
          <w:rFonts w:ascii="Times New Roman" w:hAnsi="Times New Roman" w:cs="Times New Roman"/>
        </w:rPr>
        <w:footnoteRef/>
      </w:r>
      <w:r w:rsidRPr="008C0419">
        <w:rPr>
          <w:rFonts w:ascii="Times New Roman" w:hAnsi="Times New Roman" w:cs="Times New Roman"/>
        </w:rPr>
        <w:t xml:space="preserve"> </w:t>
      </w:r>
      <w:r w:rsidR="006764AB">
        <w:rPr>
          <w:rFonts w:ascii="Times New Roman" w:hAnsi="Times New Roman" w:cs="Times New Roman"/>
        </w:rPr>
        <w:t>Attiecīgā</w:t>
      </w:r>
      <w:r w:rsidRPr="008C0419">
        <w:rPr>
          <w:rFonts w:ascii="Times New Roman" w:hAnsi="Times New Roman" w:cs="Times New Roman"/>
        </w:rPr>
        <w:t xml:space="preserve"> zaudējumu atlīdzības prasījumu kategorija, ņemot</w:t>
      </w:r>
      <w:r>
        <w:rPr>
          <w:rFonts w:ascii="Times New Roman" w:hAnsi="Times New Roman" w:cs="Times New Roman"/>
        </w:rPr>
        <w:t xml:space="preserve"> vērā Maksātnespējas likuma regulējumu</w:t>
      </w:r>
      <w:r w:rsidR="006764AB">
        <w:rPr>
          <w:rFonts w:ascii="Times New Roman" w:hAnsi="Times New Roman" w:cs="Times New Roman"/>
        </w:rPr>
        <w:t>,</w:t>
      </w:r>
      <w:r>
        <w:rPr>
          <w:rFonts w:ascii="Times New Roman" w:hAnsi="Times New Roman" w:cs="Times New Roman"/>
        </w:rPr>
        <w:t xml:space="preserve"> tiks apskatīta atsevišķi šā pētījuma nākamajā apakšnodaļā</w:t>
      </w:r>
      <w:r w:rsidR="00685966">
        <w:rPr>
          <w:rFonts w:ascii="Times New Roman" w:hAnsi="Times New Roman" w:cs="Times New Roman"/>
        </w:rPr>
        <w:t>.</w:t>
      </w:r>
      <w:r>
        <w:rPr>
          <w:rFonts w:ascii="Times New Roman" w:hAnsi="Times New Roman" w:cs="Times New Roman"/>
        </w:rPr>
        <w:t xml:space="preserve"> </w:t>
      </w:r>
    </w:p>
  </w:footnote>
  <w:footnote w:id="36">
    <w:p w14:paraId="696BA3D3" w14:textId="6077467D" w:rsidR="00AB1AF0" w:rsidRPr="00774D27" w:rsidRDefault="00AB1AF0" w:rsidP="00685966">
      <w:pPr>
        <w:pStyle w:val="FootnoteText"/>
        <w:jc w:val="both"/>
        <w:rPr>
          <w:rFonts w:ascii="Times New Roman" w:hAnsi="Times New Roman" w:cs="Times New Roman"/>
        </w:rPr>
      </w:pPr>
      <w:r>
        <w:rPr>
          <w:rStyle w:val="FootnoteReference"/>
        </w:rPr>
        <w:footnoteRef/>
      </w:r>
      <w:r>
        <w:t xml:space="preserve"> </w:t>
      </w:r>
      <w:r w:rsidRPr="00774D27">
        <w:rPr>
          <w:rFonts w:ascii="Times New Roman" w:hAnsi="Times New Roman" w:cs="Times New Roman"/>
        </w:rPr>
        <w:t>Civillikuma 1770. pants</w:t>
      </w:r>
      <w:r w:rsidR="00685966">
        <w:rPr>
          <w:rFonts w:ascii="Times New Roman" w:hAnsi="Times New Roman" w:cs="Times New Roman"/>
        </w:rPr>
        <w:t>.</w:t>
      </w:r>
    </w:p>
  </w:footnote>
  <w:footnote w:id="37">
    <w:p w14:paraId="6178D421" w14:textId="43A506D7" w:rsidR="00AB1AF0" w:rsidRPr="00774D27" w:rsidRDefault="00AB1AF0" w:rsidP="00685966">
      <w:pPr>
        <w:pStyle w:val="FootnoteText"/>
        <w:jc w:val="both"/>
        <w:rPr>
          <w:rFonts w:ascii="Times New Roman" w:hAnsi="Times New Roman" w:cs="Times New Roman"/>
        </w:rPr>
      </w:pPr>
      <w:r w:rsidRPr="00774D27">
        <w:rPr>
          <w:rStyle w:val="FootnoteReference"/>
          <w:rFonts w:ascii="Times New Roman" w:hAnsi="Times New Roman" w:cs="Times New Roman"/>
        </w:rPr>
        <w:footnoteRef/>
      </w:r>
      <w:r w:rsidR="005534E3">
        <w:rPr>
          <w:rFonts w:ascii="Times New Roman" w:hAnsi="Times New Roman" w:cs="Times New Roman"/>
        </w:rPr>
        <w:t> </w:t>
      </w:r>
      <w:r w:rsidRPr="00774D27">
        <w:rPr>
          <w:rFonts w:ascii="Times New Roman" w:hAnsi="Times New Roman" w:cs="Times New Roman"/>
        </w:rPr>
        <w:t>Latvijas Republikas Civillikuma komentāri. Ceturtā daļa. Saistību tiesības. Autoru kolektīvs prof. Torgāna K. vispārīgā zinātniskā redakcijā. Rīga: Mans Īpašums, 1998, 267. lpp.</w:t>
      </w:r>
    </w:p>
  </w:footnote>
  <w:footnote w:id="38">
    <w:p w14:paraId="6AA75462" w14:textId="66EEC560" w:rsidR="00EE4920" w:rsidRPr="00E90B0A" w:rsidRDefault="00EE4920" w:rsidP="00AC7616">
      <w:pPr>
        <w:pStyle w:val="FootnoteText"/>
        <w:jc w:val="both"/>
        <w:rPr>
          <w:vertAlign w:val="superscript"/>
        </w:rPr>
      </w:pPr>
      <w:r w:rsidRPr="00E90B0A">
        <w:rPr>
          <w:rStyle w:val="FootnoteReference"/>
        </w:rPr>
        <w:footnoteRef/>
      </w:r>
      <w:r w:rsidRPr="00E90B0A">
        <w:rPr>
          <w:vertAlign w:val="superscript"/>
        </w:rPr>
        <w:t xml:space="preserve"> </w:t>
      </w:r>
      <w:r w:rsidRPr="00B531DB">
        <w:rPr>
          <w:rFonts w:ascii="Times New Roman" w:hAnsi="Times New Roman" w:cs="Times New Roman"/>
        </w:rPr>
        <w:t>Autoru kolektīvs prof. K.</w:t>
      </w:r>
      <w:r w:rsidR="001F76F7">
        <w:rPr>
          <w:rFonts w:ascii="Times New Roman" w:hAnsi="Times New Roman" w:cs="Times New Roman"/>
        </w:rPr>
        <w:t> </w:t>
      </w:r>
      <w:r w:rsidRPr="00B531DB">
        <w:rPr>
          <w:rFonts w:ascii="Times New Roman" w:hAnsi="Times New Roman" w:cs="Times New Roman"/>
        </w:rPr>
        <w:t>Torgāna vispārīgā zinātniskā redakcijā (1998). Civillikuma komentāri: Ceturtā daļa. Saistību tiesības. Rīga: Mans īpašums, 266.lpp.</w:t>
      </w:r>
    </w:p>
  </w:footnote>
  <w:footnote w:id="39">
    <w:p w14:paraId="736EE734" w14:textId="77777777" w:rsidR="00AB1AF0" w:rsidRPr="00774D27" w:rsidRDefault="00AB1AF0" w:rsidP="00AC7616">
      <w:pPr>
        <w:pStyle w:val="FootnoteText"/>
        <w:jc w:val="both"/>
        <w:rPr>
          <w:rFonts w:ascii="Times New Roman" w:hAnsi="Times New Roman" w:cs="Times New Roman"/>
        </w:rPr>
      </w:pPr>
      <w:r w:rsidRPr="00774D27">
        <w:rPr>
          <w:rStyle w:val="FootnoteReference"/>
          <w:rFonts w:ascii="Times New Roman" w:hAnsi="Times New Roman" w:cs="Times New Roman"/>
        </w:rPr>
        <w:footnoteRef/>
      </w:r>
      <w:r w:rsidRPr="00774D27">
        <w:rPr>
          <w:rFonts w:ascii="Times New Roman" w:hAnsi="Times New Roman" w:cs="Times New Roman"/>
        </w:rPr>
        <w:t xml:space="preserve"> Latvijas Republikas Augstākās tiesas Civillietu departamenta 2017. gada 26. janvāra spriedums lietā Nr. C04275908, SKC-20/2017.</w:t>
      </w:r>
    </w:p>
  </w:footnote>
  <w:footnote w:id="40">
    <w:p w14:paraId="21FCE7D5" w14:textId="77777777" w:rsidR="005D0D09" w:rsidRDefault="005D0D09" w:rsidP="005D0D09">
      <w:pPr>
        <w:pStyle w:val="FootnoteText"/>
        <w:jc w:val="both"/>
      </w:pPr>
      <w:r>
        <w:rPr>
          <w:rStyle w:val="FootnoteReference"/>
        </w:rPr>
        <w:footnoteRef/>
      </w:r>
      <w:r>
        <w:t xml:space="preserve"> </w:t>
      </w:r>
      <w:r w:rsidRPr="002574A0">
        <w:rPr>
          <w:rFonts w:ascii="Times New Roman" w:eastAsia="Times New Roman" w:hAnsi="Times New Roman" w:cs="Times New Roman"/>
          <w:kern w:val="0"/>
          <w14:ligatures w14:val="none"/>
        </w:rPr>
        <w:t>Augstākās tiesas Civillietu departamenta 2015.</w:t>
      </w:r>
      <w:r>
        <w:rPr>
          <w:rFonts w:ascii="Times New Roman" w:eastAsia="Times New Roman" w:hAnsi="Times New Roman" w:cs="Times New Roman"/>
          <w:kern w:val="0"/>
          <w14:ligatures w14:val="none"/>
        </w:rPr>
        <w:t> </w:t>
      </w:r>
      <w:r w:rsidRPr="002574A0">
        <w:rPr>
          <w:rFonts w:ascii="Times New Roman" w:eastAsia="Times New Roman" w:hAnsi="Times New Roman" w:cs="Times New Roman"/>
          <w:kern w:val="0"/>
          <w14:ligatures w14:val="none"/>
        </w:rPr>
        <w:t>gada 23.</w:t>
      </w:r>
      <w:r>
        <w:rPr>
          <w:rFonts w:ascii="Times New Roman" w:eastAsia="Times New Roman" w:hAnsi="Times New Roman" w:cs="Times New Roman"/>
          <w:kern w:val="0"/>
          <w14:ligatures w14:val="none"/>
        </w:rPr>
        <w:t> </w:t>
      </w:r>
      <w:r w:rsidRPr="002574A0">
        <w:rPr>
          <w:rFonts w:ascii="Times New Roman" w:eastAsia="Times New Roman" w:hAnsi="Times New Roman" w:cs="Times New Roman"/>
          <w:kern w:val="0"/>
          <w14:ligatures w14:val="none"/>
        </w:rPr>
        <w:t>marta spriedum</w:t>
      </w:r>
      <w:r>
        <w:rPr>
          <w:rFonts w:ascii="Times New Roman" w:eastAsia="Times New Roman" w:hAnsi="Times New Roman" w:cs="Times New Roman"/>
          <w:kern w:val="0"/>
          <w14:ligatures w14:val="none"/>
        </w:rPr>
        <w:t>s</w:t>
      </w:r>
      <w:r w:rsidRPr="002574A0">
        <w:rPr>
          <w:rFonts w:ascii="Times New Roman" w:eastAsia="Times New Roman" w:hAnsi="Times New Roman" w:cs="Times New Roman"/>
          <w:kern w:val="0"/>
          <w14:ligatures w14:val="none"/>
        </w:rPr>
        <w:t xml:space="preserve"> lietā Nr.SKC-20/2015</w:t>
      </w:r>
      <w:r>
        <w:rPr>
          <w:rFonts w:ascii="Times New Roman" w:eastAsia="Times New Roman" w:hAnsi="Times New Roman" w:cs="Times New Roman"/>
          <w:kern w:val="0"/>
          <w14:ligatures w14:val="none"/>
        </w:rPr>
        <w:t xml:space="preserve">, </w:t>
      </w:r>
      <w:r w:rsidRPr="00AC5D84">
        <w:rPr>
          <w:rFonts w:ascii="Times New Roman" w:eastAsia="Times New Roman" w:hAnsi="Times New Roman" w:cs="Times New Roman"/>
          <w:kern w:val="0"/>
          <w14:ligatures w14:val="none"/>
        </w:rPr>
        <w:t>Augstākās tiesas</w:t>
      </w:r>
      <w:r>
        <w:rPr>
          <w:rFonts w:ascii="Times New Roman" w:eastAsia="Times New Roman" w:hAnsi="Times New Roman" w:cs="Times New Roman"/>
          <w:kern w:val="0"/>
          <w14:ligatures w14:val="none"/>
        </w:rPr>
        <w:t xml:space="preserve"> </w:t>
      </w:r>
      <w:r w:rsidRPr="00AC5D84">
        <w:rPr>
          <w:rFonts w:ascii="Times New Roman" w:eastAsia="Times New Roman" w:hAnsi="Times New Roman" w:cs="Times New Roman"/>
          <w:kern w:val="0"/>
          <w14:ligatures w14:val="none"/>
        </w:rPr>
        <w:t>Civillietu departamenta</w:t>
      </w:r>
      <w:r>
        <w:rPr>
          <w:rFonts w:ascii="Times New Roman" w:eastAsia="Times New Roman" w:hAnsi="Times New Roman" w:cs="Times New Roman"/>
          <w:kern w:val="0"/>
          <w14:ligatures w14:val="none"/>
        </w:rPr>
        <w:t xml:space="preserve"> </w:t>
      </w:r>
      <w:r w:rsidRPr="00AC5D84">
        <w:rPr>
          <w:rFonts w:ascii="Times New Roman" w:eastAsia="Times New Roman" w:hAnsi="Times New Roman" w:cs="Times New Roman"/>
          <w:kern w:val="0"/>
          <w14:ligatures w14:val="none"/>
        </w:rPr>
        <w:t>2018.</w:t>
      </w:r>
      <w:r>
        <w:rPr>
          <w:rFonts w:ascii="Times New Roman" w:eastAsia="Times New Roman" w:hAnsi="Times New Roman" w:cs="Times New Roman"/>
          <w:kern w:val="0"/>
          <w14:ligatures w14:val="none"/>
        </w:rPr>
        <w:t> </w:t>
      </w:r>
      <w:r w:rsidRPr="00AC5D84">
        <w:rPr>
          <w:rFonts w:ascii="Times New Roman" w:eastAsia="Times New Roman" w:hAnsi="Times New Roman" w:cs="Times New Roman"/>
          <w:kern w:val="0"/>
          <w14:ligatures w14:val="none"/>
        </w:rPr>
        <w:t>gada 23.</w:t>
      </w:r>
      <w:r>
        <w:rPr>
          <w:rFonts w:ascii="Times New Roman" w:eastAsia="Times New Roman" w:hAnsi="Times New Roman" w:cs="Times New Roman"/>
          <w:kern w:val="0"/>
          <w14:ligatures w14:val="none"/>
        </w:rPr>
        <w:t> </w:t>
      </w:r>
      <w:r w:rsidRPr="00AC5D84">
        <w:rPr>
          <w:rFonts w:ascii="Times New Roman" w:eastAsia="Times New Roman" w:hAnsi="Times New Roman" w:cs="Times New Roman"/>
          <w:kern w:val="0"/>
          <w14:ligatures w14:val="none"/>
        </w:rPr>
        <w:t>novembra</w:t>
      </w:r>
      <w:r>
        <w:rPr>
          <w:rFonts w:ascii="Times New Roman" w:eastAsia="Times New Roman" w:hAnsi="Times New Roman" w:cs="Times New Roman"/>
          <w:kern w:val="0"/>
          <w14:ligatures w14:val="none"/>
        </w:rPr>
        <w:t xml:space="preserve"> spriedums l</w:t>
      </w:r>
      <w:r w:rsidRPr="00AC5D84">
        <w:rPr>
          <w:rFonts w:ascii="Times New Roman" w:eastAsia="Times New Roman" w:hAnsi="Times New Roman" w:cs="Times New Roman"/>
          <w:kern w:val="0"/>
          <w:lang w:val="x-none"/>
          <w14:ligatures w14:val="none"/>
        </w:rPr>
        <w:t>ieta Nr.</w:t>
      </w:r>
      <w:r w:rsidRPr="00AC5D84">
        <w:rPr>
          <w:rFonts w:ascii="Times New Roman" w:eastAsia="Times New Roman" w:hAnsi="Times New Roman" w:cs="Times New Roman"/>
          <w:kern w:val="0"/>
          <w14:ligatures w14:val="none"/>
        </w:rPr>
        <w:t> C26097912, SKC-291/2018</w:t>
      </w:r>
      <w:r>
        <w:rPr>
          <w:rFonts w:ascii="Times New Roman" w:eastAsia="Times New Roman" w:hAnsi="Times New Roman" w:cs="Times New Roman"/>
          <w:kern w:val="0"/>
          <w14:ligatures w14:val="none"/>
        </w:rPr>
        <w:t>.</w:t>
      </w:r>
    </w:p>
  </w:footnote>
  <w:footnote w:id="41">
    <w:p w14:paraId="7E5694CA" w14:textId="77777777" w:rsidR="005D0D09" w:rsidRDefault="005D0D09" w:rsidP="005D0D09">
      <w:pPr>
        <w:pStyle w:val="FootnoteText"/>
        <w:jc w:val="both"/>
      </w:pPr>
      <w:r>
        <w:rPr>
          <w:rStyle w:val="FootnoteReference"/>
        </w:rPr>
        <w:footnoteRef/>
      </w:r>
      <w:r>
        <w:t xml:space="preserve"> </w:t>
      </w:r>
      <w:r w:rsidRPr="002574A0">
        <w:rPr>
          <w:rFonts w:ascii="Times New Roman" w:eastAsia="Times New Roman" w:hAnsi="Times New Roman" w:cs="Times New Roman"/>
          <w:kern w:val="0"/>
          <w14:ligatures w14:val="none"/>
        </w:rPr>
        <w:t>Augstākās tiesas Civillietu departamenta 2016.</w:t>
      </w:r>
      <w:r>
        <w:rPr>
          <w:rFonts w:ascii="Times New Roman" w:eastAsia="Times New Roman" w:hAnsi="Times New Roman" w:cs="Times New Roman"/>
          <w:kern w:val="0"/>
          <w14:ligatures w14:val="none"/>
        </w:rPr>
        <w:t> </w:t>
      </w:r>
      <w:r w:rsidRPr="002574A0">
        <w:rPr>
          <w:rFonts w:ascii="Times New Roman" w:eastAsia="Times New Roman" w:hAnsi="Times New Roman" w:cs="Times New Roman"/>
          <w:kern w:val="0"/>
          <w14:ligatures w14:val="none"/>
        </w:rPr>
        <w:t>gada 21.</w:t>
      </w:r>
      <w:r>
        <w:rPr>
          <w:rFonts w:ascii="Times New Roman" w:eastAsia="Times New Roman" w:hAnsi="Times New Roman" w:cs="Times New Roman"/>
          <w:kern w:val="0"/>
          <w14:ligatures w14:val="none"/>
        </w:rPr>
        <w:t> </w:t>
      </w:r>
      <w:r w:rsidRPr="002574A0">
        <w:rPr>
          <w:rFonts w:ascii="Times New Roman" w:eastAsia="Times New Roman" w:hAnsi="Times New Roman" w:cs="Times New Roman"/>
          <w:kern w:val="0"/>
          <w14:ligatures w14:val="none"/>
        </w:rPr>
        <w:t>jūnija spriedumu lietā Nr.SKC-163/2016, Augstākās tiesas 2017.</w:t>
      </w:r>
      <w:r>
        <w:rPr>
          <w:rFonts w:ascii="Times New Roman" w:eastAsia="Times New Roman" w:hAnsi="Times New Roman" w:cs="Times New Roman"/>
          <w:kern w:val="0"/>
          <w14:ligatures w14:val="none"/>
        </w:rPr>
        <w:t> </w:t>
      </w:r>
      <w:r w:rsidRPr="002574A0">
        <w:rPr>
          <w:rFonts w:ascii="Times New Roman" w:eastAsia="Times New Roman" w:hAnsi="Times New Roman" w:cs="Times New Roman"/>
          <w:kern w:val="0"/>
          <w14:ligatures w14:val="none"/>
        </w:rPr>
        <w:t>gada 6.</w:t>
      </w:r>
      <w:r>
        <w:rPr>
          <w:rFonts w:ascii="Times New Roman" w:eastAsia="Times New Roman" w:hAnsi="Times New Roman" w:cs="Times New Roman"/>
          <w:kern w:val="0"/>
          <w14:ligatures w14:val="none"/>
        </w:rPr>
        <w:t> </w:t>
      </w:r>
      <w:r w:rsidRPr="002574A0">
        <w:rPr>
          <w:rFonts w:ascii="Times New Roman" w:eastAsia="Times New Roman" w:hAnsi="Times New Roman" w:cs="Times New Roman"/>
          <w:kern w:val="0"/>
          <w14:ligatures w14:val="none"/>
        </w:rPr>
        <w:t>aprīļa spriedum</w:t>
      </w:r>
      <w:r>
        <w:rPr>
          <w:rFonts w:ascii="Times New Roman" w:eastAsia="Times New Roman" w:hAnsi="Times New Roman" w:cs="Times New Roman"/>
          <w:kern w:val="0"/>
          <w14:ligatures w14:val="none"/>
        </w:rPr>
        <w:t>s</w:t>
      </w:r>
      <w:r w:rsidRPr="002574A0">
        <w:rPr>
          <w:rFonts w:ascii="Times New Roman" w:eastAsia="Times New Roman" w:hAnsi="Times New Roman" w:cs="Times New Roman"/>
          <w:kern w:val="0"/>
          <w14:ligatures w14:val="none"/>
        </w:rPr>
        <w:t xml:space="preserve"> lietā Nr.SKC</w:t>
      </w:r>
      <w:r w:rsidRPr="002574A0">
        <w:rPr>
          <w:rFonts w:ascii="Times New Roman" w:eastAsia="Times New Roman" w:hAnsi="Times New Roman" w:cs="Times New Roman"/>
          <w:kern w:val="0"/>
          <w14:ligatures w14:val="none"/>
        </w:rPr>
        <w:noBreakHyphen/>
        <w:t>127/2017</w:t>
      </w:r>
      <w:r>
        <w:rPr>
          <w:rFonts w:ascii="Times New Roman" w:eastAsia="Times New Roman" w:hAnsi="Times New Roman" w:cs="Times New Roman"/>
          <w:kern w:val="0"/>
          <w14:ligatures w14:val="none"/>
        </w:rPr>
        <w:t>.</w:t>
      </w:r>
    </w:p>
  </w:footnote>
  <w:footnote w:id="42">
    <w:p w14:paraId="00A8A158" w14:textId="77777777" w:rsidR="00AB1AF0" w:rsidRDefault="00AB1AF0" w:rsidP="00AC7616">
      <w:pPr>
        <w:pStyle w:val="FootnoteText"/>
        <w:jc w:val="both"/>
      </w:pPr>
      <w:r w:rsidRPr="00774D27">
        <w:rPr>
          <w:rStyle w:val="FootnoteReference"/>
          <w:rFonts w:ascii="Times New Roman" w:hAnsi="Times New Roman" w:cs="Times New Roman"/>
        </w:rPr>
        <w:footnoteRef/>
      </w:r>
      <w:r w:rsidRPr="00774D27">
        <w:rPr>
          <w:rFonts w:ascii="Times New Roman" w:hAnsi="Times New Roman" w:cs="Times New Roman"/>
        </w:rPr>
        <w:t xml:space="preserve"> Līgumu un deliktu problēmas Eiropas Savienībā un Latvijā. Sagatavojis autoru kolektīvs prof. Torgāna K. vispārīgā zinātniskā redakcijā. Rīga: Tiesu namu aģentūra, 2017, 207. lpp.</w:t>
      </w:r>
    </w:p>
  </w:footnote>
  <w:footnote w:id="43">
    <w:p w14:paraId="2C801ED2" w14:textId="321069F8" w:rsidR="00A62F1F" w:rsidRDefault="00A62F1F" w:rsidP="00AC7616">
      <w:pPr>
        <w:pStyle w:val="FootnoteText"/>
        <w:jc w:val="both"/>
      </w:pPr>
      <w:r>
        <w:rPr>
          <w:rStyle w:val="FootnoteReference"/>
        </w:rPr>
        <w:footnoteRef/>
      </w:r>
      <w:r w:rsidR="00F6012A">
        <w:t xml:space="preserve"> </w:t>
      </w:r>
      <w:r w:rsidR="00F6012A" w:rsidRPr="00F6012A">
        <w:rPr>
          <w:rFonts w:ascii="Times New Roman" w:hAnsi="Times New Roman" w:cs="Times New Roman"/>
        </w:rPr>
        <w:t>Latvijas Republikas Augstākās tiesas</w:t>
      </w:r>
      <w:r w:rsidR="00F6012A" w:rsidRPr="0089499E">
        <w:rPr>
          <w:rFonts w:ascii="Times New Roman" w:hAnsi="Times New Roman" w:cs="Times New Roman"/>
        </w:rPr>
        <w:t xml:space="preserve"> </w:t>
      </w:r>
      <w:r w:rsidR="00F6012A" w:rsidRPr="00F6012A">
        <w:rPr>
          <w:rFonts w:ascii="Times New Roman" w:hAnsi="Times New Roman" w:cs="Times New Roman"/>
        </w:rPr>
        <w:t>Civillietu departamenta</w:t>
      </w:r>
      <w:r w:rsidR="00F6012A" w:rsidRPr="0089499E">
        <w:rPr>
          <w:rFonts w:ascii="Times New Roman" w:hAnsi="Times New Roman" w:cs="Times New Roman"/>
        </w:rPr>
        <w:t xml:space="preserve"> </w:t>
      </w:r>
      <w:r w:rsidR="00F6012A" w:rsidRPr="00F6012A">
        <w:rPr>
          <w:rFonts w:ascii="Times New Roman" w:hAnsi="Times New Roman" w:cs="Times New Roman"/>
        </w:rPr>
        <w:t>2016. gada 7. jūnija</w:t>
      </w:r>
      <w:r w:rsidR="00F6012A" w:rsidRPr="0089499E">
        <w:rPr>
          <w:rFonts w:ascii="Times New Roman" w:hAnsi="Times New Roman" w:cs="Times New Roman"/>
        </w:rPr>
        <w:t xml:space="preserve"> </w:t>
      </w:r>
      <w:r w:rsidR="0089499E" w:rsidRPr="0089499E">
        <w:rPr>
          <w:rFonts w:ascii="Times New Roman" w:hAnsi="Times New Roman" w:cs="Times New Roman"/>
        </w:rPr>
        <w:t>spriedums l</w:t>
      </w:r>
      <w:r w:rsidR="00F6012A" w:rsidRPr="00F6012A">
        <w:rPr>
          <w:rFonts w:ascii="Times New Roman" w:hAnsi="Times New Roman" w:cs="Times New Roman"/>
        </w:rPr>
        <w:t>ietā Nr.</w:t>
      </w:r>
      <w:r w:rsidR="0089499E" w:rsidRPr="0089499E">
        <w:rPr>
          <w:rFonts w:ascii="Times New Roman" w:hAnsi="Times New Roman" w:cs="Times New Roman"/>
        </w:rPr>
        <w:t> </w:t>
      </w:r>
      <w:r w:rsidR="00F6012A" w:rsidRPr="00F6012A">
        <w:rPr>
          <w:rFonts w:ascii="Times New Roman" w:hAnsi="Times New Roman" w:cs="Times New Roman"/>
        </w:rPr>
        <w:t>C39072411</w:t>
      </w:r>
      <w:r w:rsidR="0089499E" w:rsidRPr="0089499E">
        <w:rPr>
          <w:rFonts w:ascii="Times New Roman" w:hAnsi="Times New Roman" w:cs="Times New Roman"/>
        </w:rPr>
        <w:t xml:space="preserve">, </w:t>
      </w:r>
      <w:r w:rsidR="00F6012A" w:rsidRPr="00F6012A">
        <w:rPr>
          <w:rFonts w:ascii="Times New Roman" w:hAnsi="Times New Roman" w:cs="Times New Roman"/>
        </w:rPr>
        <w:t>SKC-7/2016</w:t>
      </w:r>
      <w:r w:rsidR="00C653DE">
        <w:rPr>
          <w:rFonts w:ascii="Times New Roman" w:hAnsi="Times New Roman" w:cs="Times New Roman"/>
        </w:rPr>
        <w:t>.</w:t>
      </w:r>
    </w:p>
  </w:footnote>
  <w:footnote w:id="44">
    <w:p w14:paraId="4F6F27A0" w14:textId="7E4F188E" w:rsidR="000F1702" w:rsidRPr="001F7FA8" w:rsidRDefault="000F1702" w:rsidP="00A85E94">
      <w:pPr>
        <w:pStyle w:val="FootnoteText"/>
        <w:jc w:val="both"/>
        <w:rPr>
          <w:rFonts w:ascii="Times New Roman" w:hAnsi="Times New Roman" w:cs="Times New Roman"/>
        </w:rPr>
      </w:pPr>
      <w:r w:rsidRPr="001F7FA8">
        <w:rPr>
          <w:rStyle w:val="FootnoteReference"/>
          <w:rFonts w:ascii="Times New Roman" w:hAnsi="Times New Roman" w:cs="Times New Roman"/>
        </w:rPr>
        <w:footnoteRef/>
      </w:r>
      <w:r w:rsidRPr="001F7FA8">
        <w:rPr>
          <w:rFonts w:ascii="Times New Roman" w:hAnsi="Times New Roman" w:cs="Times New Roman"/>
        </w:rPr>
        <w:t xml:space="preserve"> Maksātnespējas likuma 72.</w:t>
      </w:r>
      <w:r w:rsidRPr="001F7FA8">
        <w:rPr>
          <w:rFonts w:ascii="Times New Roman" w:hAnsi="Times New Roman" w:cs="Times New Roman"/>
          <w:vertAlign w:val="superscript"/>
        </w:rPr>
        <w:t>1</w:t>
      </w:r>
      <w:r w:rsidRPr="001F7FA8">
        <w:rPr>
          <w:rFonts w:ascii="Times New Roman" w:hAnsi="Times New Roman" w:cs="Times New Roman"/>
        </w:rPr>
        <w:t> panta otrā daļa</w:t>
      </w:r>
      <w:r w:rsidR="00A11D66">
        <w:rPr>
          <w:rFonts w:ascii="Times New Roman" w:hAnsi="Times New Roman" w:cs="Times New Roman"/>
        </w:rPr>
        <w:t>.</w:t>
      </w:r>
    </w:p>
  </w:footnote>
  <w:footnote w:id="45">
    <w:p w14:paraId="00370ADA" w14:textId="77777777" w:rsidR="00E8708D" w:rsidRDefault="00E8708D" w:rsidP="00E8708D">
      <w:pPr>
        <w:spacing w:after="0" w:line="240" w:lineRule="auto"/>
        <w:jc w:val="both"/>
      </w:pPr>
      <w:r w:rsidRPr="001F7FA8">
        <w:rPr>
          <w:rStyle w:val="FootnoteReference"/>
          <w:rFonts w:ascii="Times New Roman" w:hAnsi="Times New Roman" w:cs="Times New Roman"/>
          <w:sz w:val="20"/>
          <w:szCs w:val="20"/>
        </w:rPr>
        <w:footnoteRef/>
      </w:r>
      <w:r w:rsidRPr="001F7FA8">
        <w:rPr>
          <w:rFonts w:ascii="Times New Roman" w:hAnsi="Times New Roman" w:cs="Times New Roman"/>
          <w:sz w:val="20"/>
          <w:szCs w:val="20"/>
        </w:rPr>
        <w:t xml:space="preserve"> Maksātnespējas likuma 179. pantā ir paredzēta atbildība par maksātnespējas procesa vai tiesiskās aizsardzības procesa noteikumu pārkāpšanu, ja to izdarījis administrators, parādnieka pārstāvis, tiesiskās aizsardzības procesa uzraugošā persona vai cita maksātnespējas procesā vai tiesiskās aizsardzības procesā iesaistītā persona. Administratīvā pārkāpuma procesu par Maksātnespējas likuma 179. panta minētajiem pārkāpumiem veic Maksātnespējas kontroles dienests.</w:t>
      </w:r>
      <w:r w:rsidRPr="00EE1E7A">
        <w:rPr>
          <w:rFonts w:ascii="Times New Roman" w:hAnsi="Times New Roman" w:cs="Times New Roman"/>
          <w:sz w:val="20"/>
          <w:szCs w:val="20"/>
        </w:rPr>
        <w:t xml:space="preserve"> </w:t>
      </w:r>
    </w:p>
  </w:footnote>
  <w:footnote w:id="46">
    <w:p w14:paraId="25427770" w14:textId="5BBB3768" w:rsidR="00B24719" w:rsidRPr="00701AFA" w:rsidRDefault="00B24719">
      <w:pPr>
        <w:pStyle w:val="FootnoteText"/>
        <w:rPr>
          <w:rFonts w:ascii="Times New Roman" w:hAnsi="Times New Roman" w:cs="Times New Roman"/>
        </w:rPr>
      </w:pPr>
      <w:r w:rsidRPr="00701AFA">
        <w:rPr>
          <w:rStyle w:val="FootnoteReference"/>
          <w:rFonts w:ascii="Times New Roman" w:hAnsi="Times New Roman" w:cs="Times New Roman"/>
        </w:rPr>
        <w:footnoteRef/>
      </w:r>
      <w:r w:rsidRPr="00701AFA">
        <w:rPr>
          <w:rFonts w:ascii="Times New Roman" w:hAnsi="Times New Roman" w:cs="Times New Roman"/>
        </w:rPr>
        <w:t xml:space="preserve"> </w:t>
      </w:r>
      <w:r w:rsidR="0082732A" w:rsidRPr="00701AFA">
        <w:rPr>
          <w:rFonts w:ascii="Times New Roman" w:hAnsi="Times New Roman" w:cs="Times New Roman"/>
        </w:rPr>
        <w:t>Administratīvās atbildības likuma</w:t>
      </w:r>
      <w:r w:rsidR="00701AFA" w:rsidRPr="00701AFA">
        <w:rPr>
          <w:rFonts w:ascii="Times New Roman" w:hAnsi="Times New Roman" w:cs="Times New Roman"/>
        </w:rPr>
        <w:t xml:space="preserve"> 14. pants</w:t>
      </w:r>
      <w:r w:rsidR="00EE6DA0">
        <w:rPr>
          <w:rFonts w:ascii="Times New Roman" w:hAnsi="Times New Roman" w:cs="Times New Roman"/>
        </w:rPr>
        <w:t>.</w:t>
      </w:r>
    </w:p>
  </w:footnote>
  <w:footnote w:id="47">
    <w:p w14:paraId="67F6CC23" w14:textId="38496EAB" w:rsidR="000528A3" w:rsidRPr="0075072E" w:rsidRDefault="000528A3">
      <w:pPr>
        <w:pStyle w:val="FootnoteText"/>
        <w:rPr>
          <w:rFonts w:ascii="Times New Roman" w:hAnsi="Times New Roman" w:cs="Times New Roman"/>
        </w:rPr>
      </w:pPr>
      <w:r>
        <w:rPr>
          <w:rStyle w:val="FootnoteReference"/>
        </w:rPr>
        <w:footnoteRef/>
      </w:r>
      <w:r>
        <w:t xml:space="preserve"> </w:t>
      </w:r>
      <w:r w:rsidRPr="0075072E">
        <w:rPr>
          <w:rFonts w:ascii="Times New Roman" w:hAnsi="Times New Roman" w:cs="Times New Roman"/>
        </w:rPr>
        <w:t xml:space="preserve">Civilprocesa likuma </w:t>
      </w:r>
      <w:r w:rsidR="0075072E" w:rsidRPr="0075072E">
        <w:rPr>
          <w:rFonts w:ascii="Times New Roman" w:hAnsi="Times New Roman" w:cs="Times New Roman"/>
        </w:rPr>
        <w:t>150. panta trešā daļa</w:t>
      </w:r>
      <w:r w:rsidR="00EE6DA0">
        <w:rPr>
          <w:rFonts w:ascii="Times New Roman" w:hAnsi="Times New Roman" w:cs="Times New Roman"/>
        </w:rPr>
        <w:t>.</w:t>
      </w:r>
    </w:p>
  </w:footnote>
  <w:footnote w:id="48">
    <w:p w14:paraId="4E8BD179" w14:textId="714F6788" w:rsidR="006C0882" w:rsidRDefault="006C0882" w:rsidP="00A85E94">
      <w:pPr>
        <w:pStyle w:val="FootnoteText"/>
        <w:jc w:val="both"/>
      </w:pPr>
      <w:r w:rsidRPr="0021752E">
        <w:rPr>
          <w:rStyle w:val="FootnoteReference"/>
          <w:rFonts w:ascii="Times New Roman" w:hAnsi="Times New Roman" w:cs="Times New Roman"/>
        </w:rPr>
        <w:footnoteRef/>
      </w:r>
      <w:r w:rsidRPr="0021752E">
        <w:rPr>
          <w:rFonts w:ascii="Times New Roman" w:hAnsi="Times New Roman" w:cs="Times New Roman"/>
        </w:rPr>
        <w:t xml:space="preserve"> Maksātnespējas likuma 96. panta otrā daļa</w:t>
      </w:r>
      <w:r w:rsidR="00462F30">
        <w:rPr>
          <w:rFonts w:ascii="Times New Roman" w:hAnsi="Times New Roman" w:cs="Times New Roman"/>
        </w:rPr>
        <w:t>.</w:t>
      </w:r>
    </w:p>
  </w:footnote>
  <w:footnote w:id="49">
    <w:p w14:paraId="52054333" w14:textId="6FE9A669" w:rsidR="006B1BCF" w:rsidRPr="00B52CDD" w:rsidRDefault="006B1BCF" w:rsidP="0021752E">
      <w:pPr>
        <w:pStyle w:val="FootnoteText"/>
        <w:jc w:val="both"/>
        <w:rPr>
          <w:rFonts w:ascii="Times New Roman" w:hAnsi="Times New Roman" w:cs="Times New Roman"/>
        </w:rPr>
      </w:pPr>
      <w:r w:rsidRPr="00B52CDD">
        <w:rPr>
          <w:rStyle w:val="FootnoteReference"/>
          <w:rFonts w:ascii="Times New Roman" w:hAnsi="Times New Roman" w:cs="Times New Roman"/>
        </w:rPr>
        <w:footnoteRef/>
      </w:r>
      <w:r w:rsidR="000F3024">
        <w:rPr>
          <w:rFonts w:ascii="Times New Roman" w:hAnsi="Times New Roman" w:cs="Times New Roman"/>
        </w:rPr>
        <w:t> </w:t>
      </w:r>
      <w:r w:rsidRPr="00B52CDD">
        <w:rPr>
          <w:rFonts w:ascii="Times New Roman" w:hAnsi="Times New Roman" w:cs="Times New Roman"/>
        </w:rPr>
        <w:t>Informatīvie materiāli</w:t>
      </w:r>
      <w:r>
        <w:rPr>
          <w:rFonts w:ascii="Times New Roman" w:hAnsi="Times New Roman" w:cs="Times New Roman"/>
        </w:rPr>
        <w:t>, Darījumu apstrīdēšana.</w:t>
      </w:r>
      <w:r w:rsidRPr="00B52CDD">
        <w:rPr>
          <w:rFonts w:ascii="Times New Roman" w:hAnsi="Times New Roman" w:cs="Times New Roman"/>
        </w:rPr>
        <w:t xml:space="preserve"> Pieejams: </w:t>
      </w:r>
      <w:hyperlink r:id="rId1" w:anchor="darijumu-apstridesana" w:history="1">
        <w:r w:rsidR="00807830" w:rsidRPr="00EB13D7">
          <w:rPr>
            <w:rStyle w:val="Hyperlink"/>
            <w:rFonts w:ascii="Times New Roman" w:hAnsi="Times New Roman" w:cs="Times New Roman"/>
          </w:rPr>
          <w:t>https://www.mkd.gov.lv/lv/informativie-materiali#darijumu-apstridesana</w:t>
        </w:r>
      </w:hyperlink>
    </w:p>
  </w:footnote>
  <w:footnote w:id="50">
    <w:p w14:paraId="02A372BC" w14:textId="699488EF" w:rsidR="009D706D" w:rsidRPr="008B0A3F" w:rsidRDefault="009D706D" w:rsidP="00C205E1">
      <w:pPr>
        <w:pStyle w:val="FootnoteText"/>
        <w:jc w:val="both"/>
        <w:rPr>
          <w:rFonts w:ascii="Times New Roman" w:hAnsi="Times New Roman" w:cs="Times New Roman"/>
        </w:rPr>
      </w:pPr>
      <w:r>
        <w:rPr>
          <w:rStyle w:val="FootnoteReference"/>
        </w:rPr>
        <w:footnoteRef/>
      </w:r>
      <w:r>
        <w:t xml:space="preserve"> </w:t>
      </w:r>
      <w:r w:rsidR="00F35F58" w:rsidRPr="008B0A3F">
        <w:rPr>
          <w:rFonts w:ascii="Times New Roman" w:hAnsi="Times New Roman" w:cs="Times New Roman"/>
        </w:rPr>
        <w:t>Tiesu izpildītāju likuma 33. pants</w:t>
      </w:r>
      <w:r w:rsidR="000456E9">
        <w:rPr>
          <w:rFonts w:ascii="Times New Roman" w:hAnsi="Times New Roman" w:cs="Times New Roman"/>
        </w:rPr>
        <w:t>.</w:t>
      </w:r>
    </w:p>
  </w:footnote>
  <w:footnote w:id="51">
    <w:p w14:paraId="10F8422B" w14:textId="02561CB5" w:rsidR="009D706D" w:rsidRPr="008B0A3F" w:rsidRDefault="009D706D" w:rsidP="00C205E1">
      <w:pPr>
        <w:pStyle w:val="FootnoteText"/>
        <w:jc w:val="both"/>
        <w:rPr>
          <w:rFonts w:ascii="Times New Roman" w:hAnsi="Times New Roman" w:cs="Times New Roman"/>
        </w:rPr>
      </w:pPr>
      <w:r w:rsidRPr="008B0A3F">
        <w:rPr>
          <w:rStyle w:val="FootnoteReference"/>
          <w:rFonts w:ascii="Times New Roman" w:hAnsi="Times New Roman" w:cs="Times New Roman"/>
        </w:rPr>
        <w:footnoteRef/>
      </w:r>
      <w:r w:rsidRPr="008B0A3F">
        <w:rPr>
          <w:rFonts w:ascii="Times New Roman" w:hAnsi="Times New Roman" w:cs="Times New Roman"/>
        </w:rPr>
        <w:t xml:space="preserve"> </w:t>
      </w:r>
      <w:r w:rsidR="00E220DF" w:rsidRPr="008B0A3F">
        <w:rPr>
          <w:rFonts w:ascii="Times New Roman" w:hAnsi="Times New Roman" w:cs="Times New Roman"/>
        </w:rPr>
        <w:t>Notariāta likum</w:t>
      </w:r>
      <w:r w:rsidR="008B0A3F" w:rsidRPr="008B0A3F">
        <w:rPr>
          <w:rFonts w:ascii="Times New Roman" w:hAnsi="Times New Roman" w:cs="Times New Roman"/>
        </w:rPr>
        <w:t>a 24. pants</w:t>
      </w:r>
      <w:r w:rsidR="000456E9">
        <w:rPr>
          <w:rFonts w:ascii="Times New Roman" w:hAnsi="Times New Roman" w:cs="Times New Roman"/>
        </w:rPr>
        <w:t>.</w:t>
      </w:r>
    </w:p>
  </w:footnote>
  <w:footnote w:id="52">
    <w:p w14:paraId="663D0451" w14:textId="3C98041A" w:rsidR="00F13BBC" w:rsidRDefault="00F13BBC" w:rsidP="00C205E1">
      <w:pPr>
        <w:pStyle w:val="FootnoteText"/>
        <w:jc w:val="both"/>
      </w:pPr>
      <w:r>
        <w:rPr>
          <w:rStyle w:val="FootnoteReference"/>
        </w:rPr>
        <w:footnoteRef/>
      </w:r>
      <w:r>
        <w:t xml:space="preserve"> </w:t>
      </w:r>
      <w:r w:rsidRPr="00F13BBC">
        <w:rPr>
          <w:rFonts w:ascii="Times New Roman" w:hAnsi="Times New Roman" w:cs="Times New Roman"/>
        </w:rPr>
        <w:t>Latvijas Republikas Advokatūras likum</w:t>
      </w:r>
      <w:r w:rsidR="0046306C">
        <w:rPr>
          <w:rFonts w:ascii="Times New Roman" w:hAnsi="Times New Roman" w:cs="Times New Roman"/>
        </w:rPr>
        <w:t>a 114. pants</w:t>
      </w:r>
      <w:r w:rsidR="000456E9">
        <w:rPr>
          <w:rFonts w:ascii="Times New Roman" w:hAnsi="Times New Roman" w:cs="Times New Roman"/>
        </w:rPr>
        <w:t>.</w:t>
      </w:r>
    </w:p>
  </w:footnote>
  <w:footnote w:id="53">
    <w:p w14:paraId="260EF525" w14:textId="2EE223B4" w:rsidR="00CA0D85" w:rsidRPr="005D5E67" w:rsidRDefault="00CA0D85" w:rsidP="00C205E1">
      <w:pPr>
        <w:pStyle w:val="FootnoteText"/>
        <w:jc w:val="both"/>
        <w:rPr>
          <w:rFonts w:ascii="Times New Roman" w:hAnsi="Times New Roman" w:cs="Times New Roman"/>
        </w:rPr>
      </w:pPr>
      <w:r>
        <w:rPr>
          <w:rStyle w:val="FootnoteReference"/>
        </w:rPr>
        <w:footnoteRef/>
      </w:r>
      <w:r>
        <w:t xml:space="preserve"> </w:t>
      </w:r>
      <w:r w:rsidRPr="005D5E67">
        <w:rPr>
          <w:rFonts w:ascii="Times New Roman" w:hAnsi="Times New Roman" w:cs="Times New Roman"/>
        </w:rPr>
        <w:t xml:space="preserve">Maksātnespējas likuma </w:t>
      </w:r>
      <w:r w:rsidR="005D5E67" w:rsidRPr="005D5E67">
        <w:rPr>
          <w:rFonts w:ascii="Times New Roman" w:hAnsi="Times New Roman" w:cs="Times New Roman"/>
        </w:rPr>
        <w:t>31. pants</w:t>
      </w:r>
      <w:r w:rsidR="000456E9">
        <w:rPr>
          <w:rFonts w:ascii="Times New Roman" w:hAnsi="Times New Roman" w:cs="Times New Roman"/>
        </w:rPr>
        <w:t>.</w:t>
      </w:r>
    </w:p>
  </w:footnote>
  <w:footnote w:id="54">
    <w:p w14:paraId="20463FD3" w14:textId="34807B18" w:rsidR="006A0DE6" w:rsidRPr="00B253A7" w:rsidRDefault="006A0DE6" w:rsidP="00C205E1">
      <w:pPr>
        <w:pStyle w:val="FootnoteText"/>
        <w:jc w:val="both"/>
        <w:rPr>
          <w:rFonts w:ascii="Times New Roman" w:hAnsi="Times New Roman" w:cs="Times New Roman"/>
        </w:rPr>
      </w:pPr>
      <w:r>
        <w:rPr>
          <w:rStyle w:val="FootnoteReference"/>
        </w:rPr>
        <w:footnoteRef/>
      </w:r>
      <w:r>
        <w:t xml:space="preserve"> </w:t>
      </w:r>
      <w:r w:rsidR="00B253A7" w:rsidRPr="00B253A7">
        <w:rPr>
          <w:rFonts w:ascii="Times New Roman" w:hAnsi="Times New Roman" w:cs="Times New Roman"/>
        </w:rPr>
        <w:t>Būvniecības likuma 13. panta desmitā daļa</w:t>
      </w:r>
      <w:r w:rsidR="000456E9">
        <w:rPr>
          <w:rFonts w:ascii="Times New Roman" w:hAnsi="Times New Roman" w:cs="Times New Roman"/>
        </w:rPr>
        <w:t>.</w:t>
      </w:r>
    </w:p>
  </w:footnote>
  <w:footnote w:id="55">
    <w:p w14:paraId="1ADC9B25" w14:textId="3FFF253B" w:rsidR="00E50606" w:rsidRPr="00E50606" w:rsidRDefault="00E50606" w:rsidP="00C205E1">
      <w:pPr>
        <w:pStyle w:val="FootnoteText"/>
        <w:jc w:val="both"/>
        <w:rPr>
          <w:rFonts w:ascii="Times New Roman" w:hAnsi="Times New Roman" w:cs="Times New Roman"/>
        </w:rPr>
      </w:pPr>
      <w:r>
        <w:rPr>
          <w:rStyle w:val="FootnoteReference"/>
        </w:rPr>
        <w:footnoteRef/>
      </w:r>
      <w:r>
        <w:t xml:space="preserve"> </w:t>
      </w:r>
      <w:r w:rsidRPr="00E50606">
        <w:rPr>
          <w:rFonts w:ascii="Times New Roman" w:hAnsi="Times New Roman" w:cs="Times New Roman"/>
        </w:rPr>
        <w:t>Sauszemes transportlīdzekļu īpašnieku civiltiesiskās atbildības obligātās apdrošināšanas likum</w:t>
      </w:r>
      <w:r w:rsidR="00137242">
        <w:rPr>
          <w:rFonts w:ascii="Times New Roman" w:hAnsi="Times New Roman" w:cs="Times New Roman"/>
        </w:rPr>
        <w:t>a 3. pants</w:t>
      </w:r>
      <w:r w:rsidR="000456E9">
        <w:rPr>
          <w:rFonts w:ascii="Times New Roman" w:hAnsi="Times New Roman" w:cs="Times New Roman"/>
        </w:rPr>
        <w:t>.</w:t>
      </w:r>
    </w:p>
  </w:footnote>
  <w:footnote w:id="56">
    <w:p w14:paraId="6C3B3838" w14:textId="73BA4FC6" w:rsidR="00153DD1" w:rsidRPr="00D10CC3" w:rsidRDefault="00153DD1" w:rsidP="00584102">
      <w:pPr>
        <w:pStyle w:val="FootnoteText"/>
        <w:jc w:val="both"/>
        <w:rPr>
          <w:rFonts w:ascii="Times New Roman" w:hAnsi="Times New Roman" w:cs="Times New Roman"/>
        </w:rPr>
      </w:pPr>
      <w:r>
        <w:rPr>
          <w:rStyle w:val="FootnoteReference"/>
        </w:rPr>
        <w:footnoteRef/>
      </w:r>
      <w:r>
        <w:t xml:space="preserve"> </w:t>
      </w:r>
      <w:proofErr w:type="spellStart"/>
      <w:r w:rsidR="00D10CC3" w:rsidRPr="00D10CC3">
        <w:rPr>
          <w:rFonts w:ascii="Times New Roman" w:hAnsi="Times New Roman" w:cs="Times New Roman"/>
        </w:rPr>
        <w:t>Romania</w:t>
      </w:r>
      <w:proofErr w:type="spellEnd"/>
      <w:r w:rsidR="00D10CC3" w:rsidRPr="00D10CC3">
        <w:rPr>
          <w:rFonts w:ascii="Times New Roman" w:hAnsi="Times New Roman" w:cs="Times New Roman"/>
        </w:rPr>
        <w:t xml:space="preserve"> </w:t>
      </w:r>
      <w:proofErr w:type="spellStart"/>
      <w:r w:rsidR="00D10CC3" w:rsidRPr="00D10CC3">
        <w:rPr>
          <w:rFonts w:ascii="Times New Roman" w:hAnsi="Times New Roman" w:cs="Times New Roman"/>
        </w:rPr>
        <w:t>mandates</w:t>
      </w:r>
      <w:proofErr w:type="spellEnd"/>
      <w:r w:rsidR="00D10CC3" w:rsidRPr="00D10CC3">
        <w:rPr>
          <w:rFonts w:ascii="Times New Roman" w:hAnsi="Times New Roman" w:cs="Times New Roman"/>
        </w:rPr>
        <w:t xml:space="preserve"> D&amp;O </w:t>
      </w:r>
      <w:proofErr w:type="spellStart"/>
      <w:r w:rsidR="00D10CC3" w:rsidRPr="00D10CC3">
        <w:rPr>
          <w:rFonts w:ascii="Times New Roman" w:hAnsi="Times New Roman" w:cs="Times New Roman"/>
        </w:rPr>
        <w:t>coverage</w:t>
      </w:r>
      <w:proofErr w:type="spellEnd"/>
      <w:r w:rsidR="00D10CC3" w:rsidRPr="00D10CC3">
        <w:rPr>
          <w:rFonts w:ascii="Times New Roman" w:hAnsi="Times New Roman" w:cs="Times New Roman"/>
        </w:rPr>
        <w:t xml:space="preserve">, pieejams: </w:t>
      </w:r>
      <w:r w:rsidRPr="00D10CC3">
        <w:rPr>
          <w:rFonts w:ascii="Times New Roman" w:hAnsi="Times New Roman" w:cs="Times New Roman"/>
        </w:rPr>
        <w:t>https://www.businessinsurance.com/romania-mandates-do-coverage/</w:t>
      </w:r>
    </w:p>
  </w:footnote>
  <w:footnote w:id="57">
    <w:p w14:paraId="6F224A52" w14:textId="3A441649" w:rsidR="00FA19DA" w:rsidRPr="00C205E1" w:rsidRDefault="00FA19DA" w:rsidP="00584102">
      <w:pPr>
        <w:pStyle w:val="FootnoteText"/>
        <w:jc w:val="both"/>
        <w:rPr>
          <w:rFonts w:ascii="Times New Roman" w:hAnsi="Times New Roman" w:cs="Times New Roman"/>
        </w:rPr>
      </w:pPr>
      <w:r>
        <w:rPr>
          <w:rStyle w:val="FootnoteReference"/>
        </w:rPr>
        <w:footnoteRef/>
      </w:r>
      <w:r w:rsidR="000843AD" w:rsidRPr="000843AD">
        <w:rPr>
          <w:rFonts w:ascii="Times New Roman" w:hAnsi="Times New Roman" w:cs="Times New Roman"/>
        </w:rPr>
        <w:t>https://www.dlapiperintelligence.com/directorsduties/countries/index.html?t=protection&amp;s=01-protected-from-liability&amp;c=RO</w:t>
      </w:r>
      <w:r w:rsidR="000456E9">
        <w:rPr>
          <w:rFonts w:ascii="Times New Roman" w:hAnsi="Times New Roman" w:cs="Times New Roman"/>
        </w:rPr>
        <w:t>.</w:t>
      </w:r>
    </w:p>
  </w:footnote>
  <w:footnote w:id="58">
    <w:p w14:paraId="30A6C435" w14:textId="16A29694" w:rsidR="00584102" w:rsidRDefault="00584102" w:rsidP="001F495B">
      <w:pPr>
        <w:pStyle w:val="FootnoteText"/>
        <w:jc w:val="both"/>
      </w:pPr>
      <w:r>
        <w:rPr>
          <w:rStyle w:val="FootnoteReference"/>
        </w:rPr>
        <w:footnoteRef/>
      </w:r>
      <w:r w:rsidR="000456E9">
        <w:t> </w:t>
      </w:r>
      <w:r w:rsidRPr="00584102">
        <w:rPr>
          <w:rFonts w:ascii="Times New Roman" w:hAnsi="Times New Roman" w:cs="Times New Roman"/>
          <w:lang w:val="en-US"/>
        </w:rPr>
        <w:t xml:space="preserve">Company Directors Disqualification Act 1986. London: The National Archives. </w:t>
      </w:r>
      <w:proofErr w:type="spellStart"/>
      <w:r w:rsidRPr="00584102">
        <w:rPr>
          <w:rFonts w:ascii="Times New Roman" w:hAnsi="Times New Roman" w:cs="Times New Roman"/>
          <w:lang w:val="en-US"/>
        </w:rPr>
        <w:t>Pieejams</w:t>
      </w:r>
      <w:proofErr w:type="spellEnd"/>
      <w:r w:rsidRPr="00584102">
        <w:rPr>
          <w:rFonts w:ascii="Times New Roman" w:hAnsi="Times New Roman" w:cs="Times New Roman"/>
          <w:lang w:val="en-US"/>
        </w:rPr>
        <w:t>: https://www.legislation.gov.uk/ukpga/1986/46</w:t>
      </w:r>
      <w:r w:rsidR="000456E9">
        <w:rPr>
          <w:rFonts w:ascii="Times New Roman" w:hAnsi="Times New Roman" w:cs="Times New Roman"/>
          <w:lang w:val="en-US"/>
        </w:rPr>
        <w:t>.</w:t>
      </w:r>
    </w:p>
  </w:footnote>
  <w:footnote w:id="59">
    <w:p w14:paraId="77A9C949" w14:textId="5FD7D94D" w:rsidR="001F495B" w:rsidRDefault="001F495B" w:rsidP="00044135">
      <w:pPr>
        <w:pStyle w:val="FootnoteText"/>
        <w:jc w:val="both"/>
      </w:pPr>
      <w:r>
        <w:rPr>
          <w:rStyle w:val="FootnoteReference"/>
        </w:rPr>
        <w:footnoteRef/>
      </w:r>
      <w:r w:rsidR="000456E9">
        <w:t> </w:t>
      </w:r>
      <w:r w:rsidRPr="0032375C">
        <w:rPr>
          <w:rFonts w:ascii="Times New Roman" w:hAnsi="Times New Roman" w:cs="Times New Roman"/>
          <w:lang w:val="en-US"/>
        </w:rPr>
        <w:t>German Stock Corporation Act, 1965</w:t>
      </w:r>
      <w:r w:rsidR="0032375C" w:rsidRPr="0032375C">
        <w:rPr>
          <w:rFonts w:ascii="Times New Roman" w:hAnsi="Times New Roman" w:cs="Times New Roman"/>
          <w:lang w:val="en-US"/>
        </w:rPr>
        <w:t>, (</w:t>
      </w:r>
      <w:proofErr w:type="spellStart"/>
      <w:r w:rsidRPr="0032375C">
        <w:rPr>
          <w:rFonts w:ascii="Times New Roman" w:hAnsi="Times New Roman" w:cs="Times New Roman"/>
          <w:lang w:val="en-US"/>
        </w:rPr>
        <w:t>Aktiengesetz</w:t>
      </w:r>
      <w:proofErr w:type="spellEnd"/>
      <w:r w:rsidRPr="0032375C">
        <w:rPr>
          <w:rFonts w:ascii="Times New Roman" w:hAnsi="Times New Roman" w:cs="Times New Roman"/>
          <w:lang w:val="en-US"/>
        </w:rPr>
        <w:t xml:space="preserve"> (</w:t>
      </w:r>
      <w:proofErr w:type="spellStart"/>
      <w:r w:rsidRPr="0032375C">
        <w:rPr>
          <w:rFonts w:ascii="Times New Roman" w:hAnsi="Times New Roman" w:cs="Times New Roman"/>
          <w:lang w:val="en-US"/>
        </w:rPr>
        <w:t>AktG</w:t>
      </w:r>
      <w:proofErr w:type="spellEnd"/>
      <w:r w:rsidRPr="0032375C">
        <w:rPr>
          <w:rFonts w:ascii="Times New Roman" w:hAnsi="Times New Roman" w:cs="Times New Roman"/>
          <w:lang w:val="en-US"/>
        </w:rPr>
        <w:t>)</w:t>
      </w:r>
      <w:r w:rsidR="0032375C" w:rsidRPr="0032375C">
        <w:rPr>
          <w:rFonts w:ascii="Times New Roman" w:hAnsi="Times New Roman" w:cs="Times New Roman"/>
          <w:lang w:val="en-US"/>
        </w:rPr>
        <w:t>).</w:t>
      </w:r>
      <w:r w:rsidRPr="0032375C">
        <w:rPr>
          <w:rFonts w:ascii="Times New Roman" w:hAnsi="Times New Roman" w:cs="Times New Roman"/>
          <w:lang w:val="en-US"/>
        </w:rPr>
        <w:t xml:space="preserve"> Bundesgesetzblatt Teil I. </w:t>
      </w:r>
      <w:proofErr w:type="spellStart"/>
      <w:r w:rsidRPr="0032375C">
        <w:rPr>
          <w:rFonts w:ascii="Times New Roman" w:hAnsi="Times New Roman" w:cs="Times New Roman"/>
          <w:lang w:val="en-US"/>
        </w:rPr>
        <w:t>Pieejams</w:t>
      </w:r>
      <w:proofErr w:type="spellEnd"/>
      <w:r w:rsidRPr="0032375C">
        <w:rPr>
          <w:rFonts w:ascii="Times New Roman" w:hAnsi="Times New Roman" w:cs="Times New Roman"/>
          <w:lang w:val="en-US"/>
        </w:rPr>
        <w:t>: https://www.gesetze-im-internet.de/aktg/</w:t>
      </w:r>
      <w:r w:rsidR="000456E9">
        <w:rPr>
          <w:rFonts w:ascii="Times New Roman" w:hAnsi="Times New Roman" w:cs="Times New Roman"/>
          <w:lang w:val="en-US"/>
        </w:rPr>
        <w:t>.</w:t>
      </w:r>
    </w:p>
  </w:footnote>
  <w:footnote w:id="60">
    <w:p w14:paraId="0957D061" w14:textId="2C487687" w:rsidR="00044135" w:rsidRDefault="00044135" w:rsidP="00135D55">
      <w:pPr>
        <w:pStyle w:val="FootnoteText"/>
        <w:jc w:val="both"/>
      </w:pPr>
      <w:r>
        <w:rPr>
          <w:rStyle w:val="FootnoteReference"/>
        </w:rPr>
        <w:footnoteRef/>
      </w:r>
      <w:r>
        <w:t xml:space="preserve"> </w:t>
      </w:r>
      <w:r w:rsidRPr="00044135">
        <w:rPr>
          <w:rFonts w:ascii="Times New Roman" w:hAnsi="Times New Roman" w:cs="Times New Roman"/>
          <w:lang w:val="en-US"/>
        </w:rPr>
        <w:t xml:space="preserve">Director disqualification </w:t>
      </w:r>
      <w:proofErr w:type="gramStart"/>
      <w:r w:rsidRPr="00044135">
        <w:rPr>
          <w:rFonts w:ascii="Times New Roman" w:hAnsi="Times New Roman" w:cs="Times New Roman"/>
          <w:lang w:val="en-US"/>
        </w:rPr>
        <w:t>register</w:t>
      </w:r>
      <w:proofErr w:type="gramEnd"/>
      <w:r w:rsidRPr="00044135">
        <w:rPr>
          <w:rFonts w:ascii="Times New Roman" w:hAnsi="Times New Roman" w:cs="Times New Roman"/>
          <w:lang w:val="en-US"/>
        </w:rPr>
        <w:t xml:space="preserve"> and enforcement actions. </w:t>
      </w:r>
      <w:r w:rsidR="00143773" w:rsidRPr="00143773">
        <w:rPr>
          <w:rFonts w:ascii="Times New Roman" w:hAnsi="Times New Roman" w:cs="Times New Roman"/>
          <w:lang w:val="en-US"/>
        </w:rPr>
        <w:t xml:space="preserve">Australian Securities &amp; Investments Commission (ASIC). </w:t>
      </w:r>
      <w:proofErr w:type="spellStart"/>
      <w:r w:rsidRPr="00044135">
        <w:rPr>
          <w:rFonts w:ascii="Times New Roman" w:hAnsi="Times New Roman" w:cs="Times New Roman"/>
          <w:lang w:val="en-US"/>
        </w:rPr>
        <w:t>Pieejams</w:t>
      </w:r>
      <w:proofErr w:type="spellEnd"/>
      <w:r w:rsidRPr="00044135">
        <w:rPr>
          <w:rFonts w:ascii="Times New Roman" w:hAnsi="Times New Roman" w:cs="Times New Roman"/>
          <w:lang w:val="en-US"/>
        </w:rPr>
        <w:t>: https://asic.gov.au/regulatory-resources/find-a-document/regulatory-guides/rg-000-director-disqualification/</w:t>
      </w:r>
      <w:r w:rsidR="000456E9">
        <w:rPr>
          <w:rFonts w:ascii="Times New Roman" w:hAnsi="Times New Roman" w:cs="Times New Roman"/>
          <w:lang w:val="en-US"/>
        </w:rPr>
        <w:t>.</w:t>
      </w:r>
    </w:p>
  </w:footnote>
  <w:footnote w:id="61">
    <w:p w14:paraId="67BA5535" w14:textId="0A5BA848" w:rsidR="00135D55" w:rsidRDefault="00135D55" w:rsidP="00D16459">
      <w:pPr>
        <w:pStyle w:val="FootnoteText"/>
        <w:jc w:val="both"/>
      </w:pPr>
      <w:r w:rsidRPr="00135D55">
        <w:rPr>
          <w:rStyle w:val="FootnoteReference"/>
          <w:rFonts w:ascii="Times New Roman" w:hAnsi="Times New Roman" w:cs="Times New Roman"/>
        </w:rPr>
        <w:footnoteRef/>
      </w:r>
      <w:r w:rsidR="000456E9">
        <w:rPr>
          <w:rFonts w:ascii="Times New Roman" w:hAnsi="Times New Roman" w:cs="Times New Roman"/>
        </w:rPr>
        <w:t> </w:t>
      </w:r>
      <w:r w:rsidRPr="00135D55">
        <w:rPr>
          <w:rFonts w:ascii="Times New Roman" w:hAnsi="Times New Roman" w:cs="Times New Roman"/>
          <w:lang w:val="en-US"/>
        </w:rPr>
        <w:t>Securities Exchange Act of 1934, 15 U.S.C.</w:t>
      </w:r>
      <w:r w:rsidR="00D31C36">
        <w:rPr>
          <w:rFonts w:ascii="Times New Roman" w:hAnsi="Times New Roman" w:cs="Times New Roman"/>
          <w:lang w:val="en-US"/>
        </w:rPr>
        <w:t xml:space="preserve">, </w:t>
      </w:r>
      <w:r w:rsidRPr="00135D55">
        <w:rPr>
          <w:rFonts w:ascii="Times New Roman" w:hAnsi="Times New Roman" w:cs="Times New Roman"/>
          <w:lang w:val="en-US"/>
        </w:rPr>
        <w:t xml:space="preserve">1934. United States Congress. </w:t>
      </w:r>
      <w:proofErr w:type="spellStart"/>
      <w:r w:rsidRPr="00135D55">
        <w:rPr>
          <w:rFonts w:ascii="Times New Roman" w:hAnsi="Times New Roman" w:cs="Times New Roman"/>
          <w:lang w:val="en-US"/>
        </w:rPr>
        <w:t>Pieejams</w:t>
      </w:r>
      <w:proofErr w:type="spellEnd"/>
      <w:r w:rsidRPr="00135D55">
        <w:rPr>
          <w:rFonts w:ascii="Times New Roman" w:hAnsi="Times New Roman" w:cs="Times New Roman"/>
          <w:lang w:val="en-US"/>
        </w:rPr>
        <w:t>: https://www.sec.gov/about/laws/sea34.pdf</w:t>
      </w:r>
      <w:r w:rsidR="000456E9">
        <w:rPr>
          <w:rFonts w:ascii="Times New Roman" w:hAnsi="Times New Roman" w:cs="Times New Roman"/>
          <w:lang w:val="en-US"/>
        </w:rPr>
        <w:t>.</w:t>
      </w:r>
    </w:p>
  </w:footnote>
  <w:footnote w:id="62">
    <w:p w14:paraId="34BC6079" w14:textId="7E546DCA" w:rsidR="007D192D" w:rsidRPr="003B3279" w:rsidRDefault="007D192D">
      <w:pPr>
        <w:pStyle w:val="FootnoteText"/>
        <w:rPr>
          <w:rFonts w:ascii="Times New Roman" w:hAnsi="Times New Roman" w:cs="Times New Roman"/>
        </w:rPr>
      </w:pPr>
      <w:r w:rsidRPr="003B3279">
        <w:rPr>
          <w:rStyle w:val="FootnoteReference"/>
          <w:rFonts w:ascii="Times New Roman" w:hAnsi="Times New Roman" w:cs="Times New Roman"/>
        </w:rPr>
        <w:footnoteRef/>
      </w:r>
      <w:r w:rsidRPr="003B3279">
        <w:rPr>
          <w:rFonts w:ascii="Times New Roman" w:hAnsi="Times New Roman" w:cs="Times New Roman"/>
        </w:rPr>
        <w:t xml:space="preserve"> </w:t>
      </w:r>
      <w:r w:rsidR="003B3279" w:rsidRPr="003B3279">
        <w:rPr>
          <w:rFonts w:ascii="Times New Roman" w:hAnsi="Times New Roman" w:cs="Times New Roman"/>
        </w:rPr>
        <w:t>Anglijas un Velsas teritorijā</w:t>
      </w:r>
      <w:r w:rsidR="00D97D57">
        <w:rPr>
          <w:rFonts w:ascii="Times New Roman" w:hAnsi="Times New Roman" w:cs="Times New Roman"/>
        </w:rPr>
        <w:t xml:space="preserve">, Skotijā un Ziemeļīrijā </w:t>
      </w:r>
      <w:r w:rsidR="00195992">
        <w:rPr>
          <w:rFonts w:ascii="Times New Roman" w:hAnsi="Times New Roman" w:cs="Times New Roman"/>
        </w:rPr>
        <w:t>šis funkcijas veic</w:t>
      </w:r>
      <w:r w:rsidR="00D97D57">
        <w:rPr>
          <w:rFonts w:ascii="Times New Roman" w:hAnsi="Times New Roman" w:cs="Times New Roman"/>
        </w:rPr>
        <w:t xml:space="preserve"> </w:t>
      </w:r>
      <w:r w:rsidR="00195992">
        <w:rPr>
          <w:rFonts w:ascii="Times New Roman" w:hAnsi="Times New Roman" w:cs="Times New Roman"/>
        </w:rPr>
        <w:t>teritoriālās iestādes</w:t>
      </w:r>
    </w:p>
  </w:footnote>
  <w:footnote w:id="63">
    <w:p w14:paraId="198F2ED9" w14:textId="0585574F" w:rsidR="008734F2" w:rsidRDefault="008734F2">
      <w:pPr>
        <w:pStyle w:val="FootnoteText"/>
      </w:pPr>
      <w:r>
        <w:rPr>
          <w:rStyle w:val="FootnoteReference"/>
        </w:rPr>
        <w:footnoteRef/>
      </w:r>
      <w:r>
        <w:t xml:space="preserve"> </w:t>
      </w:r>
      <w:r w:rsidR="00BB5D6E" w:rsidRPr="00BB5D6E">
        <w:rPr>
          <w:rFonts w:ascii="Times New Roman" w:hAnsi="Times New Roman" w:cs="Times New Roman"/>
        </w:rPr>
        <w:t>https://www.gov.uk/company-director-disqualification</w:t>
      </w:r>
    </w:p>
  </w:footnote>
  <w:footnote w:id="64">
    <w:p w14:paraId="163C2B87" w14:textId="205BF0C3" w:rsidR="00103685" w:rsidRPr="001A76C9" w:rsidRDefault="00103685" w:rsidP="00065E1C">
      <w:pPr>
        <w:pStyle w:val="FootnoteText"/>
        <w:jc w:val="both"/>
        <w:rPr>
          <w:rFonts w:ascii="Times New Roman" w:hAnsi="Times New Roman" w:cs="Times New Roman"/>
        </w:rPr>
      </w:pPr>
      <w:r>
        <w:rPr>
          <w:rStyle w:val="FootnoteReference"/>
        </w:rPr>
        <w:footnoteRef/>
      </w:r>
      <w:r>
        <w:t xml:space="preserve"> </w:t>
      </w:r>
      <w:r w:rsidR="00242087" w:rsidRPr="001A76C9">
        <w:rPr>
          <w:rFonts w:ascii="Times New Roman" w:hAnsi="Times New Roman" w:cs="Times New Roman"/>
        </w:rPr>
        <w:t>Tikai 202</w:t>
      </w:r>
      <w:r w:rsidR="00D44F91">
        <w:rPr>
          <w:rFonts w:ascii="Times New Roman" w:hAnsi="Times New Roman" w:cs="Times New Roman"/>
        </w:rPr>
        <w:t>3</w:t>
      </w:r>
      <w:r w:rsidR="00242087" w:rsidRPr="001A76C9">
        <w:rPr>
          <w:rFonts w:ascii="Times New Roman" w:hAnsi="Times New Roman" w:cs="Times New Roman"/>
        </w:rPr>
        <w:t xml:space="preserve">. gada pabeigtajos procesos </w:t>
      </w:r>
      <w:r w:rsidR="001A76C9">
        <w:rPr>
          <w:rFonts w:ascii="Times New Roman" w:hAnsi="Times New Roman" w:cs="Times New Roman"/>
        </w:rPr>
        <w:t>no k</w:t>
      </w:r>
      <w:r w:rsidR="001A76C9" w:rsidRPr="001A76C9">
        <w:rPr>
          <w:rFonts w:ascii="Times New Roman" w:hAnsi="Times New Roman" w:cs="Times New Roman"/>
        </w:rPr>
        <w:t>opējā</w:t>
      </w:r>
      <w:r w:rsidR="001A76C9">
        <w:rPr>
          <w:rFonts w:ascii="Times New Roman" w:hAnsi="Times New Roman" w:cs="Times New Roman"/>
        </w:rPr>
        <w:t>s pierādītās un</w:t>
      </w:r>
      <w:r w:rsidR="001A76C9" w:rsidRPr="001A76C9">
        <w:rPr>
          <w:rFonts w:ascii="Times New Roman" w:hAnsi="Times New Roman" w:cs="Times New Roman"/>
        </w:rPr>
        <w:t xml:space="preserve"> piespriestā</w:t>
      </w:r>
      <w:r w:rsidR="001A76C9">
        <w:rPr>
          <w:rFonts w:ascii="Times New Roman" w:hAnsi="Times New Roman" w:cs="Times New Roman"/>
        </w:rPr>
        <w:t>s zaudējumu</w:t>
      </w:r>
      <w:r w:rsidR="001A76C9" w:rsidRPr="001A76C9">
        <w:rPr>
          <w:rFonts w:ascii="Times New Roman" w:hAnsi="Times New Roman" w:cs="Times New Roman"/>
        </w:rPr>
        <w:t xml:space="preserve"> summa</w:t>
      </w:r>
      <w:r w:rsidR="001A76C9">
        <w:rPr>
          <w:rFonts w:ascii="Times New Roman" w:hAnsi="Times New Roman" w:cs="Times New Roman"/>
        </w:rPr>
        <w:t>s</w:t>
      </w:r>
      <w:r w:rsidR="001A76C9" w:rsidRPr="001A76C9">
        <w:rPr>
          <w:rFonts w:ascii="Times New Roman" w:hAnsi="Times New Roman" w:cs="Times New Roman"/>
        </w:rPr>
        <w:t xml:space="preserve"> 14 658 46</w:t>
      </w:r>
      <w:r w:rsidR="004330DE">
        <w:rPr>
          <w:rFonts w:ascii="Times New Roman" w:hAnsi="Times New Roman" w:cs="Times New Roman"/>
        </w:rPr>
        <w:t>1</w:t>
      </w:r>
      <w:r w:rsidR="001A76C9" w:rsidRPr="001A76C9">
        <w:rPr>
          <w:rFonts w:ascii="Times New Roman" w:hAnsi="Times New Roman" w:cs="Times New Roman"/>
        </w:rPr>
        <w:t> </w:t>
      </w:r>
      <w:proofErr w:type="spellStart"/>
      <w:r w:rsidR="001A76C9" w:rsidRPr="001A76C9">
        <w:rPr>
          <w:rFonts w:ascii="Times New Roman" w:hAnsi="Times New Roman" w:cs="Times New Roman"/>
          <w:i/>
          <w:iCs/>
        </w:rPr>
        <w:t>euro</w:t>
      </w:r>
      <w:proofErr w:type="spellEnd"/>
      <w:r w:rsidR="001A76C9">
        <w:rPr>
          <w:rFonts w:ascii="Times New Roman" w:hAnsi="Times New Roman" w:cs="Times New Roman"/>
        </w:rPr>
        <w:t xml:space="preserve"> </w:t>
      </w:r>
      <w:r w:rsidR="001A76C9" w:rsidRPr="001A76C9">
        <w:rPr>
          <w:rFonts w:ascii="Times New Roman" w:hAnsi="Times New Roman" w:cs="Times New Roman"/>
        </w:rPr>
        <w:t>ir izdevies atgūt 946 80</w:t>
      </w:r>
      <w:r w:rsidR="004330DE">
        <w:rPr>
          <w:rFonts w:ascii="Times New Roman" w:hAnsi="Times New Roman" w:cs="Times New Roman"/>
        </w:rPr>
        <w:t>7</w:t>
      </w:r>
      <w:r w:rsidR="001A76C9" w:rsidRPr="001A76C9">
        <w:rPr>
          <w:rFonts w:ascii="Times New Roman" w:hAnsi="Times New Roman" w:cs="Times New Roman"/>
        </w:rPr>
        <w:t> </w:t>
      </w:r>
      <w:proofErr w:type="spellStart"/>
      <w:r w:rsidR="001A76C9" w:rsidRPr="001A76C9">
        <w:rPr>
          <w:rFonts w:ascii="Times New Roman" w:hAnsi="Times New Roman" w:cs="Times New Roman"/>
          <w:i/>
          <w:iCs/>
        </w:rPr>
        <w:t>euro</w:t>
      </w:r>
      <w:proofErr w:type="spellEnd"/>
      <w:r w:rsidR="001A76C9">
        <w:rPr>
          <w:rFonts w:ascii="Times New Roman" w:hAnsi="Times New Roman" w:cs="Times New Roman"/>
        </w:rPr>
        <w:t>, kas nozīmē, ka kreditori</w:t>
      </w:r>
      <w:r w:rsidR="00A82118">
        <w:rPr>
          <w:rFonts w:ascii="Times New Roman" w:hAnsi="Times New Roman" w:cs="Times New Roman"/>
        </w:rPr>
        <w:t xml:space="preserve"> parādnieka valdes locekļu prettiesiskās rīcības dēļ ir zaudējuši vairāk nekā 13</w:t>
      </w:r>
      <w:r w:rsidR="004330DE">
        <w:rPr>
          <w:rFonts w:ascii="Times New Roman" w:hAnsi="Times New Roman" w:cs="Times New Roman"/>
        </w:rPr>
        <w:t> </w:t>
      </w:r>
      <w:r w:rsidR="00A82118">
        <w:rPr>
          <w:rFonts w:ascii="Times New Roman" w:hAnsi="Times New Roman" w:cs="Times New Roman"/>
        </w:rPr>
        <w:t>miljonus.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745736"/>
      <w:docPartObj>
        <w:docPartGallery w:val="Page Numbers (Top of Page)"/>
        <w:docPartUnique/>
      </w:docPartObj>
    </w:sdtPr>
    <w:sdtEndPr/>
    <w:sdtContent>
      <w:p w14:paraId="31BBA273" w14:textId="3AE8C1E5" w:rsidR="005D0FAE" w:rsidRDefault="005D0FAE">
        <w:pPr>
          <w:pStyle w:val="Header"/>
          <w:jc w:val="center"/>
        </w:pPr>
        <w:r>
          <w:fldChar w:fldCharType="begin"/>
        </w:r>
        <w:r>
          <w:instrText>PAGE   \* MERGEFORMAT</w:instrText>
        </w:r>
        <w:r>
          <w:fldChar w:fldCharType="separate"/>
        </w:r>
        <w:r>
          <w:t>2</w:t>
        </w:r>
        <w:r>
          <w:fldChar w:fldCharType="end"/>
        </w:r>
      </w:p>
    </w:sdtContent>
  </w:sdt>
  <w:p w14:paraId="6DCBE663" w14:textId="77777777" w:rsidR="005D0FAE" w:rsidRDefault="005D0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B54"/>
    <w:multiLevelType w:val="hybridMultilevel"/>
    <w:tmpl w:val="2908A45C"/>
    <w:lvl w:ilvl="0" w:tplc="991E8210">
      <w:start w:val="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1A32A7F"/>
    <w:multiLevelType w:val="hybridMultilevel"/>
    <w:tmpl w:val="FAD8CB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27B09C2"/>
    <w:multiLevelType w:val="multilevel"/>
    <w:tmpl w:val="0666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B23FC"/>
    <w:multiLevelType w:val="hybridMultilevel"/>
    <w:tmpl w:val="E33E44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95F6376"/>
    <w:multiLevelType w:val="hybridMultilevel"/>
    <w:tmpl w:val="D62E2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1413EF"/>
    <w:multiLevelType w:val="hybridMultilevel"/>
    <w:tmpl w:val="246A6E38"/>
    <w:lvl w:ilvl="0" w:tplc="012EBD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8342660"/>
    <w:multiLevelType w:val="multilevel"/>
    <w:tmpl w:val="CA34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428C3"/>
    <w:multiLevelType w:val="hybridMultilevel"/>
    <w:tmpl w:val="72C8F284"/>
    <w:lvl w:ilvl="0" w:tplc="FBEADE0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380659"/>
    <w:multiLevelType w:val="hybridMultilevel"/>
    <w:tmpl w:val="B5F89EE2"/>
    <w:lvl w:ilvl="0" w:tplc="82EC218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2EE0338"/>
    <w:multiLevelType w:val="hybridMultilevel"/>
    <w:tmpl w:val="05C6D346"/>
    <w:lvl w:ilvl="0" w:tplc="883C05D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636318F7"/>
    <w:multiLevelType w:val="hybridMultilevel"/>
    <w:tmpl w:val="E0C2F6E4"/>
    <w:lvl w:ilvl="0" w:tplc="4D54053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EE772E9"/>
    <w:multiLevelType w:val="hybridMultilevel"/>
    <w:tmpl w:val="834EBEA6"/>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640F33"/>
    <w:multiLevelType w:val="hybridMultilevel"/>
    <w:tmpl w:val="DEF6FD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0E271A"/>
    <w:multiLevelType w:val="multilevel"/>
    <w:tmpl w:val="9BB4F9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E54940"/>
    <w:multiLevelType w:val="multilevel"/>
    <w:tmpl w:val="B72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905301">
    <w:abstractNumId w:val="9"/>
  </w:num>
  <w:num w:numId="2" w16cid:durableId="131562704">
    <w:abstractNumId w:val="3"/>
  </w:num>
  <w:num w:numId="3" w16cid:durableId="1188907471">
    <w:abstractNumId w:val="8"/>
  </w:num>
  <w:num w:numId="4" w16cid:durableId="1349789842">
    <w:abstractNumId w:val="7"/>
  </w:num>
  <w:num w:numId="5" w16cid:durableId="37363139">
    <w:abstractNumId w:val="12"/>
  </w:num>
  <w:num w:numId="6" w16cid:durableId="1481311540">
    <w:abstractNumId w:val="1"/>
  </w:num>
  <w:num w:numId="7" w16cid:durableId="1033965385">
    <w:abstractNumId w:val="5"/>
  </w:num>
  <w:num w:numId="8" w16cid:durableId="1115057124">
    <w:abstractNumId w:val="4"/>
  </w:num>
  <w:num w:numId="9" w16cid:durableId="1021518397">
    <w:abstractNumId w:val="13"/>
  </w:num>
  <w:num w:numId="10" w16cid:durableId="1545018023">
    <w:abstractNumId w:val="11"/>
  </w:num>
  <w:num w:numId="11" w16cid:durableId="1331831582">
    <w:abstractNumId w:val="2"/>
  </w:num>
  <w:num w:numId="12" w16cid:durableId="361905804">
    <w:abstractNumId w:val="14"/>
  </w:num>
  <w:num w:numId="13" w16cid:durableId="1200435988">
    <w:abstractNumId w:val="0"/>
  </w:num>
  <w:num w:numId="14" w16cid:durableId="979386532">
    <w:abstractNumId w:val="10"/>
  </w:num>
  <w:num w:numId="15" w16cid:durableId="265889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FF"/>
    <w:rsid w:val="000005D1"/>
    <w:rsid w:val="000009CF"/>
    <w:rsid w:val="00000CE9"/>
    <w:rsid w:val="000016DB"/>
    <w:rsid w:val="00001EE4"/>
    <w:rsid w:val="000021CB"/>
    <w:rsid w:val="00004A8E"/>
    <w:rsid w:val="0000601F"/>
    <w:rsid w:val="00006B55"/>
    <w:rsid w:val="000072A5"/>
    <w:rsid w:val="0000797B"/>
    <w:rsid w:val="0001108E"/>
    <w:rsid w:val="000111E3"/>
    <w:rsid w:val="000117E9"/>
    <w:rsid w:val="00011996"/>
    <w:rsid w:val="000119AA"/>
    <w:rsid w:val="00011BD0"/>
    <w:rsid w:val="000120FC"/>
    <w:rsid w:val="00012B7F"/>
    <w:rsid w:val="00012D33"/>
    <w:rsid w:val="00013F7B"/>
    <w:rsid w:val="000147B6"/>
    <w:rsid w:val="000152B4"/>
    <w:rsid w:val="0001560D"/>
    <w:rsid w:val="00015E9E"/>
    <w:rsid w:val="0001691C"/>
    <w:rsid w:val="000169B4"/>
    <w:rsid w:val="00016A0B"/>
    <w:rsid w:val="00020D2A"/>
    <w:rsid w:val="0002103D"/>
    <w:rsid w:val="0002108D"/>
    <w:rsid w:val="000215FC"/>
    <w:rsid w:val="00022424"/>
    <w:rsid w:val="0002254B"/>
    <w:rsid w:val="00023182"/>
    <w:rsid w:val="00023AE5"/>
    <w:rsid w:val="0002469B"/>
    <w:rsid w:val="00025560"/>
    <w:rsid w:val="0002588A"/>
    <w:rsid w:val="00025A08"/>
    <w:rsid w:val="00026ADB"/>
    <w:rsid w:val="00027321"/>
    <w:rsid w:val="00027F0D"/>
    <w:rsid w:val="00030026"/>
    <w:rsid w:val="0003090B"/>
    <w:rsid w:val="00030C16"/>
    <w:rsid w:val="00033A40"/>
    <w:rsid w:val="00033D9B"/>
    <w:rsid w:val="00033EB5"/>
    <w:rsid w:val="00034415"/>
    <w:rsid w:val="00035129"/>
    <w:rsid w:val="0003522A"/>
    <w:rsid w:val="000358F2"/>
    <w:rsid w:val="0003593F"/>
    <w:rsid w:val="00035D1F"/>
    <w:rsid w:val="000363D0"/>
    <w:rsid w:val="0003699E"/>
    <w:rsid w:val="00036DA8"/>
    <w:rsid w:val="000378F6"/>
    <w:rsid w:val="00040C6E"/>
    <w:rsid w:val="00040EA0"/>
    <w:rsid w:val="000419DA"/>
    <w:rsid w:val="00041B4E"/>
    <w:rsid w:val="00041C96"/>
    <w:rsid w:val="00042674"/>
    <w:rsid w:val="0004296E"/>
    <w:rsid w:val="00042B1B"/>
    <w:rsid w:val="000434A6"/>
    <w:rsid w:val="00043B43"/>
    <w:rsid w:val="00044135"/>
    <w:rsid w:val="0004471B"/>
    <w:rsid w:val="00044FF4"/>
    <w:rsid w:val="00044FFC"/>
    <w:rsid w:val="00045050"/>
    <w:rsid w:val="000456E9"/>
    <w:rsid w:val="000459B2"/>
    <w:rsid w:val="000460FA"/>
    <w:rsid w:val="0004776E"/>
    <w:rsid w:val="00047E6F"/>
    <w:rsid w:val="000528A3"/>
    <w:rsid w:val="00053290"/>
    <w:rsid w:val="0005425A"/>
    <w:rsid w:val="00054930"/>
    <w:rsid w:val="00054F33"/>
    <w:rsid w:val="0005542F"/>
    <w:rsid w:val="0005647C"/>
    <w:rsid w:val="00057619"/>
    <w:rsid w:val="00060780"/>
    <w:rsid w:val="0006107A"/>
    <w:rsid w:val="000626F9"/>
    <w:rsid w:val="0006296B"/>
    <w:rsid w:val="00062B0C"/>
    <w:rsid w:val="00062B42"/>
    <w:rsid w:val="00063768"/>
    <w:rsid w:val="000641CA"/>
    <w:rsid w:val="00064B50"/>
    <w:rsid w:val="000654AC"/>
    <w:rsid w:val="00065E1C"/>
    <w:rsid w:val="00066E33"/>
    <w:rsid w:val="00067DC4"/>
    <w:rsid w:val="0007002C"/>
    <w:rsid w:val="000712B8"/>
    <w:rsid w:val="0007133C"/>
    <w:rsid w:val="00071356"/>
    <w:rsid w:val="000717F4"/>
    <w:rsid w:val="00071E9A"/>
    <w:rsid w:val="0007278E"/>
    <w:rsid w:val="00072F37"/>
    <w:rsid w:val="00073A98"/>
    <w:rsid w:val="0007458D"/>
    <w:rsid w:val="00074DB4"/>
    <w:rsid w:val="00075B97"/>
    <w:rsid w:val="00076994"/>
    <w:rsid w:val="000771C1"/>
    <w:rsid w:val="00077AF0"/>
    <w:rsid w:val="00077E4C"/>
    <w:rsid w:val="00080A64"/>
    <w:rsid w:val="00080FC8"/>
    <w:rsid w:val="00081CED"/>
    <w:rsid w:val="00082820"/>
    <w:rsid w:val="00082DB2"/>
    <w:rsid w:val="000838F7"/>
    <w:rsid w:val="00083903"/>
    <w:rsid w:val="00083B65"/>
    <w:rsid w:val="00083B66"/>
    <w:rsid w:val="00083BE1"/>
    <w:rsid w:val="000841CA"/>
    <w:rsid w:val="000843AD"/>
    <w:rsid w:val="00084818"/>
    <w:rsid w:val="00084BD1"/>
    <w:rsid w:val="000850D1"/>
    <w:rsid w:val="00085DA1"/>
    <w:rsid w:val="00086BF4"/>
    <w:rsid w:val="000877EC"/>
    <w:rsid w:val="0009018C"/>
    <w:rsid w:val="0009085E"/>
    <w:rsid w:val="00090B23"/>
    <w:rsid w:val="00090C29"/>
    <w:rsid w:val="00091A9A"/>
    <w:rsid w:val="00092A90"/>
    <w:rsid w:val="00092F78"/>
    <w:rsid w:val="000931B9"/>
    <w:rsid w:val="00095F98"/>
    <w:rsid w:val="0009604B"/>
    <w:rsid w:val="00097A30"/>
    <w:rsid w:val="00097DC6"/>
    <w:rsid w:val="00097DE6"/>
    <w:rsid w:val="000A0078"/>
    <w:rsid w:val="000A0B6E"/>
    <w:rsid w:val="000A0BCE"/>
    <w:rsid w:val="000A0C4A"/>
    <w:rsid w:val="000A1755"/>
    <w:rsid w:val="000A1867"/>
    <w:rsid w:val="000A2CBA"/>
    <w:rsid w:val="000A2FB0"/>
    <w:rsid w:val="000A36DD"/>
    <w:rsid w:val="000A388D"/>
    <w:rsid w:val="000A45F8"/>
    <w:rsid w:val="000A4AB8"/>
    <w:rsid w:val="000A5215"/>
    <w:rsid w:val="000A61A4"/>
    <w:rsid w:val="000A6BB7"/>
    <w:rsid w:val="000A7594"/>
    <w:rsid w:val="000B0253"/>
    <w:rsid w:val="000B117B"/>
    <w:rsid w:val="000B19F0"/>
    <w:rsid w:val="000B39BA"/>
    <w:rsid w:val="000B42B2"/>
    <w:rsid w:val="000B5073"/>
    <w:rsid w:val="000B5A05"/>
    <w:rsid w:val="000B5A72"/>
    <w:rsid w:val="000B65FB"/>
    <w:rsid w:val="000B6A51"/>
    <w:rsid w:val="000B6B03"/>
    <w:rsid w:val="000B7526"/>
    <w:rsid w:val="000B7849"/>
    <w:rsid w:val="000B79AB"/>
    <w:rsid w:val="000C1190"/>
    <w:rsid w:val="000C22D7"/>
    <w:rsid w:val="000C2444"/>
    <w:rsid w:val="000C2FDC"/>
    <w:rsid w:val="000C3BF5"/>
    <w:rsid w:val="000C3C4B"/>
    <w:rsid w:val="000C4293"/>
    <w:rsid w:val="000C5219"/>
    <w:rsid w:val="000C55F9"/>
    <w:rsid w:val="000C6CD9"/>
    <w:rsid w:val="000C7F08"/>
    <w:rsid w:val="000D00D6"/>
    <w:rsid w:val="000D09C7"/>
    <w:rsid w:val="000D1361"/>
    <w:rsid w:val="000D17BF"/>
    <w:rsid w:val="000D1CB9"/>
    <w:rsid w:val="000D27AC"/>
    <w:rsid w:val="000D33BD"/>
    <w:rsid w:val="000D4569"/>
    <w:rsid w:val="000D4B4B"/>
    <w:rsid w:val="000D5D3A"/>
    <w:rsid w:val="000D6700"/>
    <w:rsid w:val="000D6E38"/>
    <w:rsid w:val="000D79DC"/>
    <w:rsid w:val="000E0DC9"/>
    <w:rsid w:val="000E13F2"/>
    <w:rsid w:val="000E2F9C"/>
    <w:rsid w:val="000E3319"/>
    <w:rsid w:val="000E4AB6"/>
    <w:rsid w:val="000E4C73"/>
    <w:rsid w:val="000E575E"/>
    <w:rsid w:val="000F00D9"/>
    <w:rsid w:val="000F0255"/>
    <w:rsid w:val="000F0313"/>
    <w:rsid w:val="000F137F"/>
    <w:rsid w:val="000F1702"/>
    <w:rsid w:val="000F184F"/>
    <w:rsid w:val="000F1B0B"/>
    <w:rsid w:val="000F233C"/>
    <w:rsid w:val="000F3024"/>
    <w:rsid w:val="000F3210"/>
    <w:rsid w:val="000F3EF4"/>
    <w:rsid w:val="000F4505"/>
    <w:rsid w:val="000F478F"/>
    <w:rsid w:val="000F5C7D"/>
    <w:rsid w:val="000F6559"/>
    <w:rsid w:val="000F6D86"/>
    <w:rsid w:val="00100ABB"/>
    <w:rsid w:val="00100CC9"/>
    <w:rsid w:val="00100DF5"/>
    <w:rsid w:val="00100EFB"/>
    <w:rsid w:val="00101459"/>
    <w:rsid w:val="001019FA"/>
    <w:rsid w:val="00101CC9"/>
    <w:rsid w:val="00102208"/>
    <w:rsid w:val="00102355"/>
    <w:rsid w:val="00102992"/>
    <w:rsid w:val="00102A1D"/>
    <w:rsid w:val="00103685"/>
    <w:rsid w:val="00103D74"/>
    <w:rsid w:val="0010407E"/>
    <w:rsid w:val="00104368"/>
    <w:rsid w:val="0010462C"/>
    <w:rsid w:val="001048B7"/>
    <w:rsid w:val="001050B5"/>
    <w:rsid w:val="0010522D"/>
    <w:rsid w:val="00105665"/>
    <w:rsid w:val="00106F02"/>
    <w:rsid w:val="001070D8"/>
    <w:rsid w:val="00110B76"/>
    <w:rsid w:val="0011204E"/>
    <w:rsid w:val="0011212C"/>
    <w:rsid w:val="00113B68"/>
    <w:rsid w:val="001143C8"/>
    <w:rsid w:val="001145DC"/>
    <w:rsid w:val="001150D9"/>
    <w:rsid w:val="00115495"/>
    <w:rsid w:val="00116AF8"/>
    <w:rsid w:val="001174A8"/>
    <w:rsid w:val="001177CC"/>
    <w:rsid w:val="00117F3F"/>
    <w:rsid w:val="0012061A"/>
    <w:rsid w:val="00121213"/>
    <w:rsid w:val="001218AD"/>
    <w:rsid w:val="001231AB"/>
    <w:rsid w:val="00123445"/>
    <w:rsid w:val="00123523"/>
    <w:rsid w:val="00123729"/>
    <w:rsid w:val="00123834"/>
    <w:rsid w:val="0012404C"/>
    <w:rsid w:val="00124EBA"/>
    <w:rsid w:val="00125605"/>
    <w:rsid w:val="001256A7"/>
    <w:rsid w:val="001261C9"/>
    <w:rsid w:val="00126953"/>
    <w:rsid w:val="001269BD"/>
    <w:rsid w:val="001309B6"/>
    <w:rsid w:val="00130FD6"/>
    <w:rsid w:val="001316CB"/>
    <w:rsid w:val="00131DFD"/>
    <w:rsid w:val="00132355"/>
    <w:rsid w:val="00132883"/>
    <w:rsid w:val="001342B4"/>
    <w:rsid w:val="001342F6"/>
    <w:rsid w:val="00134465"/>
    <w:rsid w:val="001345F5"/>
    <w:rsid w:val="00134664"/>
    <w:rsid w:val="00135C79"/>
    <w:rsid w:val="00135D55"/>
    <w:rsid w:val="00135D7A"/>
    <w:rsid w:val="00136597"/>
    <w:rsid w:val="00136614"/>
    <w:rsid w:val="00137242"/>
    <w:rsid w:val="00137D58"/>
    <w:rsid w:val="00137E3C"/>
    <w:rsid w:val="00140382"/>
    <w:rsid w:val="00140BBF"/>
    <w:rsid w:val="00141DB7"/>
    <w:rsid w:val="00142DE4"/>
    <w:rsid w:val="00142F40"/>
    <w:rsid w:val="00143326"/>
    <w:rsid w:val="00143419"/>
    <w:rsid w:val="00143773"/>
    <w:rsid w:val="00143C36"/>
    <w:rsid w:val="001458A3"/>
    <w:rsid w:val="00145E8A"/>
    <w:rsid w:val="00146945"/>
    <w:rsid w:val="001476E9"/>
    <w:rsid w:val="0015056D"/>
    <w:rsid w:val="00150CF3"/>
    <w:rsid w:val="00150FFD"/>
    <w:rsid w:val="00151F58"/>
    <w:rsid w:val="001521A7"/>
    <w:rsid w:val="001523D8"/>
    <w:rsid w:val="00152867"/>
    <w:rsid w:val="00152C62"/>
    <w:rsid w:val="00152ED5"/>
    <w:rsid w:val="00153977"/>
    <w:rsid w:val="00153DD1"/>
    <w:rsid w:val="00154620"/>
    <w:rsid w:val="001559DD"/>
    <w:rsid w:val="00155B74"/>
    <w:rsid w:val="00155C2F"/>
    <w:rsid w:val="0015658D"/>
    <w:rsid w:val="00156729"/>
    <w:rsid w:val="00157FEB"/>
    <w:rsid w:val="00160D4D"/>
    <w:rsid w:val="00161085"/>
    <w:rsid w:val="0016150D"/>
    <w:rsid w:val="00161D24"/>
    <w:rsid w:val="00162DC8"/>
    <w:rsid w:val="0016439C"/>
    <w:rsid w:val="0016458C"/>
    <w:rsid w:val="00165008"/>
    <w:rsid w:val="00165025"/>
    <w:rsid w:val="001661DC"/>
    <w:rsid w:val="001667C9"/>
    <w:rsid w:val="00166E84"/>
    <w:rsid w:val="0016713F"/>
    <w:rsid w:val="00167185"/>
    <w:rsid w:val="00167F57"/>
    <w:rsid w:val="00170DF4"/>
    <w:rsid w:val="00171AA0"/>
    <w:rsid w:val="0017226A"/>
    <w:rsid w:val="00172D1A"/>
    <w:rsid w:val="00173DF6"/>
    <w:rsid w:val="001742BA"/>
    <w:rsid w:val="00174740"/>
    <w:rsid w:val="00174EAE"/>
    <w:rsid w:val="0017518D"/>
    <w:rsid w:val="001752C6"/>
    <w:rsid w:val="00175D22"/>
    <w:rsid w:val="00176593"/>
    <w:rsid w:val="00176702"/>
    <w:rsid w:val="00176BB0"/>
    <w:rsid w:val="001777F1"/>
    <w:rsid w:val="00177F46"/>
    <w:rsid w:val="00181626"/>
    <w:rsid w:val="001816DA"/>
    <w:rsid w:val="00181A25"/>
    <w:rsid w:val="00181B89"/>
    <w:rsid w:val="00183012"/>
    <w:rsid w:val="00183E21"/>
    <w:rsid w:val="0018467F"/>
    <w:rsid w:val="0018472C"/>
    <w:rsid w:val="00184A56"/>
    <w:rsid w:val="00184AD7"/>
    <w:rsid w:val="00184FE1"/>
    <w:rsid w:val="00185F18"/>
    <w:rsid w:val="00186479"/>
    <w:rsid w:val="00187397"/>
    <w:rsid w:val="001878FF"/>
    <w:rsid w:val="001902D9"/>
    <w:rsid w:val="001904E3"/>
    <w:rsid w:val="001908BF"/>
    <w:rsid w:val="00192550"/>
    <w:rsid w:val="00192C27"/>
    <w:rsid w:val="00192CE6"/>
    <w:rsid w:val="0019376E"/>
    <w:rsid w:val="00193CC3"/>
    <w:rsid w:val="00195316"/>
    <w:rsid w:val="00195329"/>
    <w:rsid w:val="0019557E"/>
    <w:rsid w:val="00195992"/>
    <w:rsid w:val="00196413"/>
    <w:rsid w:val="00196EF5"/>
    <w:rsid w:val="00196FA7"/>
    <w:rsid w:val="0019731F"/>
    <w:rsid w:val="001973AC"/>
    <w:rsid w:val="00197540"/>
    <w:rsid w:val="00197917"/>
    <w:rsid w:val="001A09DC"/>
    <w:rsid w:val="001A1184"/>
    <w:rsid w:val="001A1DCF"/>
    <w:rsid w:val="001A3122"/>
    <w:rsid w:val="001A31D2"/>
    <w:rsid w:val="001A4263"/>
    <w:rsid w:val="001A499F"/>
    <w:rsid w:val="001A561A"/>
    <w:rsid w:val="001A56AC"/>
    <w:rsid w:val="001A66F8"/>
    <w:rsid w:val="001A67C8"/>
    <w:rsid w:val="001A6FB4"/>
    <w:rsid w:val="001A6FD6"/>
    <w:rsid w:val="001A76C9"/>
    <w:rsid w:val="001A79C9"/>
    <w:rsid w:val="001B212C"/>
    <w:rsid w:val="001B2D80"/>
    <w:rsid w:val="001B316F"/>
    <w:rsid w:val="001B395A"/>
    <w:rsid w:val="001B3E74"/>
    <w:rsid w:val="001B3FAA"/>
    <w:rsid w:val="001B4DC2"/>
    <w:rsid w:val="001B4E53"/>
    <w:rsid w:val="001B6511"/>
    <w:rsid w:val="001B66B9"/>
    <w:rsid w:val="001B67D2"/>
    <w:rsid w:val="001B6D31"/>
    <w:rsid w:val="001B6EF0"/>
    <w:rsid w:val="001B78DF"/>
    <w:rsid w:val="001C00AE"/>
    <w:rsid w:val="001C02F1"/>
    <w:rsid w:val="001C2CDF"/>
    <w:rsid w:val="001C2E4A"/>
    <w:rsid w:val="001C3714"/>
    <w:rsid w:val="001C3AC6"/>
    <w:rsid w:val="001C3ADF"/>
    <w:rsid w:val="001C3DF7"/>
    <w:rsid w:val="001C431D"/>
    <w:rsid w:val="001C454F"/>
    <w:rsid w:val="001C4617"/>
    <w:rsid w:val="001C538D"/>
    <w:rsid w:val="001C5E1C"/>
    <w:rsid w:val="001C621D"/>
    <w:rsid w:val="001C74B7"/>
    <w:rsid w:val="001D0567"/>
    <w:rsid w:val="001D2ED5"/>
    <w:rsid w:val="001D3259"/>
    <w:rsid w:val="001D3576"/>
    <w:rsid w:val="001D3750"/>
    <w:rsid w:val="001D4D2B"/>
    <w:rsid w:val="001D4FF3"/>
    <w:rsid w:val="001D57F7"/>
    <w:rsid w:val="001D59F5"/>
    <w:rsid w:val="001D5AA7"/>
    <w:rsid w:val="001D5B71"/>
    <w:rsid w:val="001D6609"/>
    <w:rsid w:val="001D6D0A"/>
    <w:rsid w:val="001D7629"/>
    <w:rsid w:val="001D7F09"/>
    <w:rsid w:val="001E0315"/>
    <w:rsid w:val="001E0CD8"/>
    <w:rsid w:val="001E0DBA"/>
    <w:rsid w:val="001E0EED"/>
    <w:rsid w:val="001E13F4"/>
    <w:rsid w:val="001E1A94"/>
    <w:rsid w:val="001E1B26"/>
    <w:rsid w:val="001E1C23"/>
    <w:rsid w:val="001E1D97"/>
    <w:rsid w:val="001E3036"/>
    <w:rsid w:val="001E33B7"/>
    <w:rsid w:val="001E3515"/>
    <w:rsid w:val="001E39FE"/>
    <w:rsid w:val="001E3AF9"/>
    <w:rsid w:val="001E437A"/>
    <w:rsid w:val="001E473A"/>
    <w:rsid w:val="001E53EF"/>
    <w:rsid w:val="001E65C4"/>
    <w:rsid w:val="001E66B5"/>
    <w:rsid w:val="001E673C"/>
    <w:rsid w:val="001E7844"/>
    <w:rsid w:val="001E7B00"/>
    <w:rsid w:val="001F00AF"/>
    <w:rsid w:val="001F159D"/>
    <w:rsid w:val="001F27DA"/>
    <w:rsid w:val="001F2BFC"/>
    <w:rsid w:val="001F2C26"/>
    <w:rsid w:val="001F2F07"/>
    <w:rsid w:val="001F3A32"/>
    <w:rsid w:val="001F495B"/>
    <w:rsid w:val="001F4A85"/>
    <w:rsid w:val="001F4F2A"/>
    <w:rsid w:val="001F4F38"/>
    <w:rsid w:val="001F5496"/>
    <w:rsid w:val="001F5D77"/>
    <w:rsid w:val="001F609F"/>
    <w:rsid w:val="001F76F7"/>
    <w:rsid w:val="001F782F"/>
    <w:rsid w:val="001F7FA8"/>
    <w:rsid w:val="00200076"/>
    <w:rsid w:val="002001B8"/>
    <w:rsid w:val="0020201B"/>
    <w:rsid w:val="002023A4"/>
    <w:rsid w:val="00202444"/>
    <w:rsid w:val="0020277D"/>
    <w:rsid w:val="00202E45"/>
    <w:rsid w:val="002044EC"/>
    <w:rsid w:val="002050F4"/>
    <w:rsid w:val="0020535C"/>
    <w:rsid w:val="00205865"/>
    <w:rsid w:val="002059E5"/>
    <w:rsid w:val="002067D1"/>
    <w:rsid w:val="002071A8"/>
    <w:rsid w:val="002077F2"/>
    <w:rsid w:val="00210278"/>
    <w:rsid w:val="0021080C"/>
    <w:rsid w:val="00210C0C"/>
    <w:rsid w:val="00211D4F"/>
    <w:rsid w:val="002121A2"/>
    <w:rsid w:val="00212673"/>
    <w:rsid w:val="00212CDB"/>
    <w:rsid w:val="00213A9D"/>
    <w:rsid w:val="00213E96"/>
    <w:rsid w:val="00214307"/>
    <w:rsid w:val="00214B64"/>
    <w:rsid w:val="00216027"/>
    <w:rsid w:val="00216195"/>
    <w:rsid w:val="00216760"/>
    <w:rsid w:val="0021752E"/>
    <w:rsid w:val="002175ED"/>
    <w:rsid w:val="002177F0"/>
    <w:rsid w:val="00217FEC"/>
    <w:rsid w:val="00220A77"/>
    <w:rsid w:val="00221268"/>
    <w:rsid w:val="00221B45"/>
    <w:rsid w:val="00222145"/>
    <w:rsid w:val="00223053"/>
    <w:rsid w:val="00225677"/>
    <w:rsid w:val="002258D0"/>
    <w:rsid w:val="002258FB"/>
    <w:rsid w:val="00225F11"/>
    <w:rsid w:val="00226E3E"/>
    <w:rsid w:val="00226FC8"/>
    <w:rsid w:val="00227182"/>
    <w:rsid w:val="002314AF"/>
    <w:rsid w:val="00232803"/>
    <w:rsid w:val="00232C8F"/>
    <w:rsid w:val="0023302F"/>
    <w:rsid w:val="002336C0"/>
    <w:rsid w:val="0023466F"/>
    <w:rsid w:val="00234911"/>
    <w:rsid w:val="0023498F"/>
    <w:rsid w:val="00234D0C"/>
    <w:rsid w:val="00234E5E"/>
    <w:rsid w:val="00236AE9"/>
    <w:rsid w:val="00236E2E"/>
    <w:rsid w:val="00237455"/>
    <w:rsid w:val="00237853"/>
    <w:rsid w:val="00240D05"/>
    <w:rsid w:val="002412CC"/>
    <w:rsid w:val="00241880"/>
    <w:rsid w:val="00241D40"/>
    <w:rsid w:val="00241E90"/>
    <w:rsid w:val="00241F57"/>
    <w:rsid w:val="00242018"/>
    <w:rsid w:val="00242087"/>
    <w:rsid w:val="002425D4"/>
    <w:rsid w:val="00242D3B"/>
    <w:rsid w:val="00243426"/>
    <w:rsid w:val="002439C2"/>
    <w:rsid w:val="00245380"/>
    <w:rsid w:val="00245BCD"/>
    <w:rsid w:val="00246246"/>
    <w:rsid w:val="00246406"/>
    <w:rsid w:val="00246AD6"/>
    <w:rsid w:val="002504E0"/>
    <w:rsid w:val="00250984"/>
    <w:rsid w:val="00250B83"/>
    <w:rsid w:val="00251158"/>
    <w:rsid w:val="00251529"/>
    <w:rsid w:val="0025197E"/>
    <w:rsid w:val="00251F62"/>
    <w:rsid w:val="002528D6"/>
    <w:rsid w:val="00253168"/>
    <w:rsid w:val="00253862"/>
    <w:rsid w:val="0025485A"/>
    <w:rsid w:val="002550A6"/>
    <w:rsid w:val="002558F0"/>
    <w:rsid w:val="002568AE"/>
    <w:rsid w:val="00256DF5"/>
    <w:rsid w:val="00256F45"/>
    <w:rsid w:val="002574A0"/>
    <w:rsid w:val="00257AED"/>
    <w:rsid w:val="00261323"/>
    <w:rsid w:val="0026243D"/>
    <w:rsid w:val="00262AEB"/>
    <w:rsid w:val="0026409D"/>
    <w:rsid w:val="002651E0"/>
    <w:rsid w:val="00265469"/>
    <w:rsid w:val="0026562A"/>
    <w:rsid w:val="00265C5C"/>
    <w:rsid w:val="00265E6F"/>
    <w:rsid w:val="002661DD"/>
    <w:rsid w:val="002661F7"/>
    <w:rsid w:val="002668DE"/>
    <w:rsid w:val="0026791E"/>
    <w:rsid w:val="00267953"/>
    <w:rsid w:val="00267C7A"/>
    <w:rsid w:val="0027098F"/>
    <w:rsid w:val="002709B0"/>
    <w:rsid w:val="002714F2"/>
    <w:rsid w:val="00271684"/>
    <w:rsid w:val="00271AB4"/>
    <w:rsid w:val="00272EBC"/>
    <w:rsid w:val="00275138"/>
    <w:rsid w:val="0027526E"/>
    <w:rsid w:val="00277EB9"/>
    <w:rsid w:val="0028095A"/>
    <w:rsid w:val="002816C6"/>
    <w:rsid w:val="0028170E"/>
    <w:rsid w:val="00281934"/>
    <w:rsid w:val="00282DBA"/>
    <w:rsid w:val="002831DC"/>
    <w:rsid w:val="00283C4E"/>
    <w:rsid w:val="00283E06"/>
    <w:rsid w:val="00284244"/>
    <w:rsid w:val="00284ABF"/>
    <w:rsid w:val="00284CBB"/>
    <w:rsid w:val="00284F4A"/>
    <w:rsid w:val="002877FC"/>
    <w:rsid w:val="00287F45"/>
    <w:rsid w:val="0029084F"/>
    <w:rsid w:val="00293A1A"/>
    <w:rsid w:val="002946FE"/>
    <w:rsid w:val="00294CCE"/>
    <w:rsid w:val="00294E00"/>
    <w:rsid w:val="00295C0C"/>
    <w:rsid w:val="00296435"/>
    <w:rsid w:val="0029680B"/>
    <w:rsid w:val="0029682E"/>
    <w:rsid w:val="002969B5"/>
    <w:rsid w:val="002A1679"/>
    <w:rsid w:val="002A1AD4"/>
    <w:rsid w:val="002A3073"/>
    <w:rsid w:val="002A3454"/>
    <w:rsid w:val="002A3DEE"/>
    <w:rsid w:val="002A40D2"/>
    <w:rsid w:val="002A5286"/>
    <w:rsid w:val="002A55E8"/>
    <w:rsid w:val="002A5C5C"/>
    <w:rsid w:val="002A6809"/>
    <w:rsid w:val="002A74D2"/>
    <w:rsid w:val="002B02F7"/>
    <w:rsid w:val="002B0D34"/>
    <w:rsid w:val="002B0EB1"/>
    <w:rsid w:val="002B177A"/>
    <w:rsid w:val="002B1F71"/>
    <w:rsid w:val="002B38CF"/>
    <w:rsid w:val="002B392C"/>
    <w:rsid w:val="002B46FF"/>
    <w:rsid w:val="002B4B80"/>
    <w:rsid w:val="002B55B3"/>
    <w:rsid w:val="002B5F44"/>
    <w:rsid w:val="002B65DE"/>
    <w:rsid w:val="002B7B2E"/>
    <w:rsid w:val="002B7D8E"/>
    <w:rsid w:val="002C03F9"/>
    <w:rsid w:val="002C27B5"/>
    <w:rsid w:val="002C3C37"/>
    <w:rsid w:val="002C462D"/>
    <w:rsid w:val="002C53AE"/>
    <w:rsid w:val="002C5D4E"/>
    <w:rsid w:val="002C6274"/>
    <w:rsid w:val="002C6E97"/>
    <w:rsid w:val="002C75C7"/>
    <w:rsid w:val="002D0049"/>
    <w:rsid w:val="002D0F05"/>
    <w:rsid w:val="002D20A9"/>
    <w:rsid w:val="002D2822"/>
    <w:rsid w:val="002D2C81"/>
    <w:rsid w:val="002D35FD"/>
    <w:rsid w:val="002D51D2"/>
    <w:rsid w:val="002D5822"/>
    <w:rsid w:val="002D5A4D"/>
    <w:rsid w:val="002D5BDF"/>
    <w:rsid w:val="002D71F8"/>
    <w:rsid w:val="002E064C"/>
    <w:rsid w:val="002E06C5"/>
    <w:rsid w:val="002E11E7"/>
    <w:rsid w:val="002E210F"/>
    <w:rsid w:val="002E514E"/>
    <w:rsid w:val="002E52C5"/>
    <w:rsid w:val="002E5F93"/>
    <w:rsid w:val="002E6531"/>
    <w:rsid w:val="002E7363"/>
    <w:rsid w:val="002E7857"/>
    <w:rsid w:val="002F0300"/>
    <w:rsid w:val="002F1316"/>
    <w:rsid w:val="002F146C"/>
    <w:rsid w:val="002F2AA1"/>
    <w:rsid w:val="002F55E3"/>
    <w:rsid w:val="002F6390"/>
    <w:rsid w:val="002F685E"/>
    <w:rsid w:val="002F6F9D"/>
    <w:rsid w:val="002F7E46"/>
    <w:rsid w:val="0030018C"/>
    <w:rsid w:val="00300D3D"/>
    <w:rsid w:val="00300DBF"/>
    <w:rsid w:val="00301012"/>
    <w:rsid w:val="00303358"/>
    <w:rsid w:val="0030394E"/>
    <w:rsid w:val="00303F73"/>
    <w:rsid w:val="003043FA"/>
    <w:rsid w:val="0030492E"/>
    <w:rsid w:val="00304AAC"/>
    <w:rsid w:val="00304B75"/>
    <w:rsid w:val="00305633"/>
    <w:rsid w:val="003059F8"/>
    <w:rsid w:val="00306817"/>
    <w:rsid w:val="003070BA"/>
    <w:rsid w:val="00311566"/>
    <w:rsid w:val="00311FB5"/>
    <w:rsid w:val="00314951"/>
    <w:rsid w:val="00314DC2"/>
    <w:rsid w:val="00315D0F"/>
    <w:rsid w:val="003167ED"/>
    <w:rsid w:val="003167FD"/>
    <w:rsid w:val="00316EE8"/>
    <w:rsid w:val="00317A1F"/>
    <w:rsid w:val="00317B7E"/>
    <w:rsid w:val="0032005C"/>
    <w:rsid w:val="00320516"/>
    <w:rsid w:val="003220E7"/>
    <w:rsid w:val="00322142"/>
    <w:rsid w:val="00322848"/>
    <w:rsid w:val="00322CA8"/>
    <w:rsid w:val="0032375C"/>
    <w:rsid w:val="00323D39"/>
    <w:rsid w:val="00324C0A"/>
    <w:rsid w:val="00324F34"/>
    <w:rsid w:val="003251EC"/>
    <w:rsid w:val="00326428"/>
    <w:rsid w:val="0032757B"/>
    <w:rsid w:val="0032761A"/>
    <w:rsid w:val="00327FA4"/>
    <w:rsid w:val="00330551"/>
    <w:rsid w:val="003305AB"/>
    <w:rsid w:val="00330728"/>
    <w:rsid w:val="00331CF0"/>
    <w:rsid w:val="003348BA"/>
    <w:rsid w:val="00334BBB"/>
    <w:rsid w:val="00334BC2"/>
    <w:rsid w:val="00335563"/>
    <w:rsid w:val="0033637D"/>
    <w:rsid w:val="003365CA"/>
    <w:rsid w:val="00336C74"/>
    <w:rsid w:val="00337525"/>
    <w:rsid w:val="0034166F"/>
    <w:rsid w:val="00341DAD"/>
    <w:rsid w:val="00342507"/>
    <w:rsid w:val="00342958"/>
    <w:rsid w:val="00342A63"/>
    <w:rsid w:val="003442BA"/>
    <w:rsid w:val="00344FE0"/>
    <w:rsid w:val="0034500A"/>
    <w:rsid w:val="00345928"/>
    <w:rsid w:val="0034650C"/>
    <w:rsid w:val="00346B5B"/>
    <w:rsid w:val="0034751E"/>
    <w:rsid w:val="003502FF"/>
    <w:rsid w:val="00350CFC"/>
    <w:rsid w:val="00350F12"/>
    <w:rsid w:val="003514A1"/>
    <w:rsid w:val="00351D88"/>
    <w:rsid w:val="00352C6B"/>
    <w:rsid w:val="003534E3"/>
    <w:rsid w:val="003538C6"/>
    <w:rsid w:val="00353C22"/>
    <w:rsid w:val="0035432E"/>
    <w:rsid w:val="00354622"/>
    <w:rsid w:val="0035659C"/>
    <w:rsid w:val="00356610"/>
    <w:rsid w:val="00356D95"/>
    <w:rsid w:val="003571A0"/>
    <w:rsid w:val="00357C84"/>
    <w:rsid w:val="003605C0"/>
    <w:rsid w:val="003607C3"/>
    <w:rsid w:val="00360D7D"/>
    <w:rsid w:val="00360E82"/>
    <w:rsid w:val="0036146B"/>
    <w:rsid w:val="00361A26"/>
    <w:rsid w:val="00362378"/>
    <w:rsid w:val="003623BA"/>
    <w:rsid w:val="003625C5"/>
    <w:rsid w:val="00363F1C"/>
    <w:rsid w:val="00364BE5"/>
    <w:rsid w:val="0036727E"/>
    <w:rsid w:val="003700B8"/>
    <w:rsid w:val="003700E9"/>
    <w:rsid w:val="00370E2B"/>
    <w:rsid w:val="00371C27"/>
    <w:rsid w:val="003720C1"/>
    <w:rsid w:val="00374541"/>
    <w:rsid w:val="00377133"/>
    <w:rsid w:val="00381821"/>
    <w:rsid w:val="0038198E"/>
    <w:rsid w:val="00381A5F"/>
    <w:rsid w:val="003825BE"/>
    <w:rsid w:val="003825F8"/>
    <w:rsid w:val="00382705"/>
    <w:rsid w:val="00382D36"/>
    <w:rsid w:val="00383576"/>
    <w:rsid w:val="0038363B"/>
    <w:rsid w:val="003838E2"/>
    <w:rsid w:val="00386602"/>
    <w:rsid w:val="00390DA5"/>
    <w:rsid w:val="00390F57"/>
    <w:rsid w:val="00391ABA"/>
    <w:rsid w:val="003922A5"/>
    <w:rsid w:val="00392527"/>
    <w:rsid w:val="00393336"/>
    <w:rsid w:val="0039370E"/>
    <w:rsid w:val="00393902"/>
    <w:rsid w:val="003943D4"/>
    <w:rsid w:val="003951B0"/>
    <w:rsid w:val="00395219"/>
    <w:rsid w:val="0039534A"/>
    <w:rsid w:val="00395406"/>
    <w:rsid w:val="00396913"/>
    <w:rsid w:val="0039717D"/>
    <w:rsid w:val="00397C29"/>
    <w:rsid w:val="003A0394"/>
    <w:rsid w:val="003A0592"/>
    <w:rsid w:val="003A0656"/>
    <w:rsid w:val="003A070C"/>
    <w:rsid w:val="003A09D5"/>
    <w:rsid w:val="003A22F1"/>
    <w:rsid w:val="003A2DF4"/>
    <w:rsid w:val="003A3658"/>
    <w:rsid w:val="003A4455"/>
    <w:rsid w:val="003A4A88"/>
    <w:rsid w:val="003A4C16"/>
    <w:rsid w:val="003A5D40"/>
    <w:rsid w:val="003A5DE6"/>
    <w:rsid w:val="003A71B7"/>
    <w:rsid w:val="003A774F"/>
    <w:rsid w:val="003B0262"/>
    <w:rsid w:val="003B09F9"/>
    <w:rsid w:val="003B1709"/>
    <w:rsid w:val="003B1D1F"/>
    <w:rsid w:val="003B1F80"/>
    <w:rsid w:val="003B244B"/>
    <w:rsid w:val="003B2544"/>
    <w:rsid w:val="003B3279"/>
    <w:rsid w:val="003B4875"/>
    <w:rsid w:val="003B4B14"/>
    <w:rsid w:val="003B4FBC"/>
    <w:rsid w:val="003B5C03"/>
    <w:rsid w:val="003B62AC"/>
    <w:rsid w:val="003B67E2"/>
    <w:rsid w:val="003B6B9E"/>
    <w:rsid w:val="003C0A2F"/>
    <w:rsid w:val="003C1557"/>
    <w:rsid w:val="003C2FE8"/>
    <w:rsid w:val="003C3092"/>
    <w:rsid w:val="003C4591"/>
    <w:rsid w:val="003C469F"/>
    <w:rsid w:val="003C5C63"/>
    <w:rsid w:val="003C6E41"/>
    <w:rsid w:val="003C7D0B"/>
    <w:rsid w:val="003D079F"/>
    <w:rsid w:val="003D1028"/>
    <w:rsid w:val="003D10C3"/>
    <w:rsid w:val="003D2487"/>
    <w:rsid w:val="003D25A4"/>
    <w:rsid w:val="003D2C9A"/>
    <w:rsid w:val="003D2F30"/>
    <w:rsid w:val="003D330D"/>
    <w:rsid w:val="003D3858"/>
    <w:rsid w:val="003D4A10"/>
    <w:rsid w:val="003D50C4"/>
    <w:rsid w:val="003D6C9A"/>
    <w:rsid w:val="003D7239"/>
    <w:rsid w:val="003D763B"/>
    <w:rsid w:val="003D7BBF"/>
    <w:rsid w:val="003E0639"/>
    <w:rsid w:val="003E0795"/>
    <w:rsid w:val="003E0B79"/>
    <w:rsid w:val="003E0E70"/>
    <w:rsid w:val="003E0F20"/>
    <w:rsid w:val="003E39AD"/>
    <w:rsid w:val="003E405A"/>
    <w:rsid w:val="003E4B03"/>
    <w:rsid w:val="003E5263"/>
    <w:rsid w:val="003E5D03"/>
    <w:rsid w:val="003E6AF0"/>
    <w:rsid w:val="003E7198"/>
    <w:rsid w:val="003E779A"/>
    <w:rsid w:val="003E7F53"/>
    <w:rsid w:val="003F15FE"/>
    <w:rsid w:val="003F1C78"/>
    <w:rsid w:val="003F2080"/>
    <w:rsid w:val="003F2192"/>
    <w:rsid w:val="003F24CF"/>
    <w:rsid w:val="003F256E"/>
    <w:rsid w:val="003F29CE"/>
    <w:rsid w:val="003F3854"/>
    <w:rsid w:val="0040005E"/>
    <w:rsid w:val="00400260"/>
    <w:rsid w:val="004006F4"/>
    <w:rsid w:val="0040102C"/>
    <w:rsid w:val="00402F0C"/>
    <w:rsid w:val="00403F98"/>
    <w:rsid w:val="00404C60"/>
    <w:rsid w:val="00405197"/>
    <w:rsid w:val="0040604F"/>
    <w:rsid w:val="004067BC"/>
    <w:rsid w:val="00406F0A"/>
    <w:rsid w:val="00407864"/>
    <w:rsid w:val="00410881"/>
    <w:rsid w:val="00410D8E"/>
    <w:rsid w:val="0041124D"/>
    <w:rsid w:val="0041142E"/>
    <w:rsid w:val="004118C0"/>
    <w:rsid w:val="00412647"/>
    <w:rsid w:val="00412902"/>
    <w:rsid w:val="004132A4"/>
    <w:rsid w:val="004139ED"/>
    <w:rsid w:val="00414E57"/>
    <w:rsid w:val="00415604"/>
    <w:rsid w:val="0041600C"/>
    <w:rsid w:val="004210A8"/>
    <w:rsid w:val="00421738"/>
    <w:rsid w:val="00421885"/>
    <w:rsid w:val="004219B3"/>
    <w:rsid w:val="00422125"/>
    <w:rsid w:val="004252A6"/>
    <w:rsid w:val="004253EA"/>
    <w:rsid w:val="0042707B"/>
    <w:rsid w:val="004272F8"/>
    <w:rsid w:val="00430576"/>
    <w:rsid w:val="00432B60"/>
    <w:rsid w:val="00432E72"/>
    <w:rsid w:val="004330DE"/>
    <w:rsid w:val="004330E6"/>
    <w:rsid w:val="004332BA"/>
    <w:rsid w:val="00433834"/>
    <w:rsid w:val="004340CA"/>
    <w:rsid w:val="004352DC"/>
    <w:rsid w:val="00435321"/>
    <w:rsid w:val="00435703"/>
    <w:rsid w:val="00435800"/>
    <w:rsid w:val="0043640E"/>
    <w:rsid w:val="00436793"/>
    <w:rsid w:val="0044127D"/>
    <w:rsid w:val="00441863"/>
    <w:rsid w:val="0044210D"/>
    <w:rsid w:val="00442DFE"/>
    <w:rsid w:val="00443F94"/>
    <w:rsid w:val="00444ACA"/>
    <w:rsid w:val="00444C82"/>
    <w:rsid w:val="004452B6"/>
    <w:rsid w:val="00445E17"/>
    <w:rsid w:val="00450D60"/>
    <w:rsid w:val="00450F81"/>
    <w:rsid w:val="00451CD8"/>
    <w:rsid w:val="004526C0"/>
    <w:rsid w:val="00453429"/>
    <w:rsid w:val="00453B65"/>
    <w:rsid w:val="00455149"/>
    <w:rsid w:val="0045584E"/>
    <w:rsid w:val="00455FE6"/>
    <w:rsid w:val="0045691F"/>
    <w:rsid w:val="004577F3"/>
    <w:rsid w:val="00457B8A"/>
    <w:rsid w:val="00457E1A"/>
    <w:rsid w:val="00460985"/>
    <w:rsid w:val="00461468"/>
    <w:rsid w:val="00462319"/>
    <w:rsid w:val="0046279D"/>
    <w:rsid w:val="00462F30"/>
    <w:rsid w:val="0046306C"/>
    <w:rsid w:val="0046431C"/>
    <w:rsid w:val="0046466C"/>
    <w:rsid w:val="0046664C"/>
    <w:rsid w:val="0046694A"/>
    <w:rsid w:val="00466985"/>
    <w:rsid w:val="004669A6"/>
    <w:rsid w:val="00470085"/>
    <w:rsid w:val="004702A9"/>
    <w:rsid w:val="004713DF"/>
    <w:rsid w:val="00472346"/>
    <w:rsid w:val="00472959"/>
    <w:rsid w:val="00472BB4"/>
    <w:rsid w:val="0047338C"/>
    <w:rsid w:val="0047380D"/>
    <w:rsid w:val="004740E1"/>
    <w:rsid w:val="004749C8"/>
    <w:rsid w:val="004750C7"/>
    <w:rsid w:val="004759D4"/>
    <w:rsid w:val="004759FA"/>
    <w:rsid w:val="004760C2"/>
    <w:rsid w:val="00477279"/>
    <w:rsid w:val="00480854"/>
    <w:rsid w:val="00481009"/>
    <w:rsid w:val="004812F8"/>
    <w:rsid w:val="004814D0"/>
    <w:rsid w:val="00481F04"/>
    <w:rsid w:val="0048230A"/>
    <w:rsid w:val="00482B58"/>
    <w:rsid w:val="004837D3"/>
    <w:rsid w:val="00484D03"/>
    <w:rsid w:val="00485455"/>
    <w:rsid w:val="004856D2"/>
    <w:rsid w:val="00486966"/>
    <w:rsid w:val="0049160A"/>
    <w:rsid w:val="00491B3A"/>
    <w:rsid w:val="00492452"/>
    <w:rsid w:val="00493D74"/>
    <w:rsid w:val="00494BD7"/>
    <w:rsid w:val="00496D85"/>
    <w:rsid w:val="004971D0"/>
    <w:rsid w:val="00497495"/>
    <w:rsid w:val="00497A50"/>
    <w:rsid w:val="004A04A4"/>
    <w:rsid w:val="004A06A5"/>
    <w:rsid w:val="004A0F36"/>
    <w:rsid w:val="004A1267"/>
    <w:rsid w:val="004A18CF"/>
    <w:rsid w:val="004A1EA2"/>
    <w:rsid w:val="004A1FAD"/>
    <w:rsid w:val="004A2101"/>
    <w:rsid w:val="004A25D8"/>
    <w:rsid w:val="004A267A"/>
    <w:rsid w:val="004A27AC"/>
    <w:rsid w:val="004A3A38"/>
    <w:rsid w:val="004A4F89"/>
    <w:rsid w:val="004A537D"/>
    <w:rsid w:val="004B0B44"/>
    <w:rsid w:val="004B0F5D"/>
    <w:rsid w:val="004B12B4"/>
    <w:rsid w:val="004B1726"/>
    <w:rsid w:val="004B2024"/>
    <w:rsid w:val="004B2EE3"/>
    <w:rsid w:val="004B3578"/>
    <w:rsid w:val="004B423D"/>
    <w:rsid w:val="004B4B8C"/>
    <w:rsid w:val="004B4BF2"/>
    <w:rsid w:val="004B5070"/>
    <w:rsid w:val="004B557F"/>
    <w:rsid w:val="004B65B4"/>
    <w:rsid w:val="004B67FA"/>
    <w:rsid w:val="004B6B81"/>
    <w:rsid w:val="004B6C11"/>
    <w:rsid w:val="004C0503"/>
    <w:rsid w:val="004C1975"/>
    <w:rsid w:val="004C28A3"/>
    <w:rsid w:val="004C33F3"/>
    <w:rsid w:val="004C47A1"/>
    <w:rsid w:val="004C48C8"/>
    <w:rsid w:val="004C56EE"/>
    <w:rsid w:val="004C5C5F"/>
    <w:rsid w:val="004C661C"/>
    <w:rsid w:val="004C7198"/>
    <w:rsid w:val="004C72BB"/>
    <w:rsid w:val="004C7CA4"/>
    <w:rsid w:val="004D09D9"/>
    <w:rsid w:val="004D1BFE"/>
    <w:rsid w:val="004D1EB5"/>
    <w:rsid w:val="004D1F17"/>
    <w:rsid w:val="004D235E"/>
    <w:rsid w:val="004D3649"/>
    <w:rsid w:val="004D3943"/>
    <w:rsid w:val="004D5048"/>
    <w:rsid w:val="004D5206"/>
    <w:rsid w:val="004D5E82"/>
    <w:rsid w:val="004D6817"/>
    <w:rsid w:val="004D6F0A"/>
    <w:rsid w:val="004D7748"/>
    <w:rsid w:val="004D7FB1"/>
    <w:rsid w:val="004D7FF7"/>
    <w:rsid w:val="004E0D40"/>
    <w:rsid w:val="004E241E"/>
    <w:rsid w:val="004E28BD"/>
    <w:rsid w:val="004E2B76"/>
    <w:rsid w:val="004E2B93"/>
    <w:rsid w:val="004E491D"/>
    <w:rsid w:val="004E4BF2"/>
    <w:rsid w:val="004E508D"/>
    <w:rsid w:val="004E7668"/>
    <w:rsid w:val="004F0405"/>
    <w:rsid w:val="004F1639"/>
    <w:rsid w:val="004F1ED4"/>
    <w:rsid w:val="004F2F98"/>
    <w:rsid w:val="004F34BA"/>
    <w:rsid w:val="004F4B1F"/>
    <w:rsid w:val="004F586C"/>
    <w:rsid w:val="004F5974"/>
    <w:rsid w:val="004F5B63"/>
    <w:rsid w:val="004F6985"/>
    <w:rsid w:val="004F72F2"/>
    <w:rsid w:val="004F7D15"/>
    <w:rsid w:val="004F7E05"/>
    <w:rsid w:val="00500805"/>
    <w:rsid w:val="00500BE6"/>
    <w:rsid w:val="00500CA9"/>
    <w:rsid w:val="005011BC"/>
    <w:rsid w:val="005019FB"/>
    <w:rsid w:val="00501C72"/>
    <w:rsid w:val="0050291C"/>
    <w:rsid w:val="00502C3A"/>
    <w:rsid w:val="00503C44"/>
    <w:rsid w:val="005047D7"/>
    <w:rsid w:val="00505661"/>
    <w:rsid w:val="00505A61"/>
    <w:rsid w:val="00506B46"/>
    <w:rsid w:val="0050715F"/>
    <w:rsid w:val="00507388"/>
    <w:rsid w:val="0051045C"/>
    <w:rsid w:val="00511591"/>
    <w:rsid w:val="00512507"/>
    <w:rsid w:val="00512F5F"/>
    <w:rsid w:val="0051318D"/>
    <w:rsid w:val="005134C3"/>
    <w:rsid w:val="00513B10"/>
    <w:rsid w:val="00513CAC"/>
    <w:rsid w:val="005144BF"/>
    <w:rsid w:val="005147B5"/>
    <w:rsid w:val="00514E60"/>
    <w:rsid w:val="00515A1B"/>
    <w:rsid w:val="00515BA6"/>
    <w:rsid w:val="00517B0E"/>
    <w:rsid w:val="00517DAD"/>
    <w:rsid w:val="00520091"/>
    <w:rsid w:val="0052095D"/>
    <w:rsid w:val="00521516"/>
    <w:rsid w:val="0052202E"/>
    <w:rsid w:val="0052342E"/>
    <w:rsid w:val="005245A8"/>
    <w:rsid w:val="005253B0"/>
    <w:rsid w:val="00525DA4"/>
    <w:rsid w:val="00527064"/>
    <w:rsid w:val="0052764A"/>
    <w:rsid w:val="0052766B"/>
    <w:rsid w:val="00530B99"/>
    <w:rsid w:val="005312B1"/>
    <w:rsid w:val="00532B34"/>
    <w:rsid w:val="005334AD"/>
    <w:rsid w:val="005345AB"/>
    <w:rsid w:val="00535617"/>
    <w:rsid w:val="00535991"/>
    <w:rsid w:val="00536025"/>
    <w:rsid w:val="005362E0"/>
    <w:rsid w:val="005365FB"/>
    <w:rsid w:val="00536989"/>
    <w:rsid w:val="00537268"/>
    <w:rsid w:val="00537AEB"/>
    <w:rsid w:val="00537BC6"/>
    <w:rsid w:val="005406D1"/>
    <w:rsid w:val="0054204B"/>
    <w:rsid w:val="00543C70"/>
    <w:rsid w:val="005442B2"/>
    <w:rsid w:val="00544360"/>
    <w:rsid w:val="005449C7"/>
    <w:rsid w:val="005455EE"/>
    <w:rsid w:val="00545D3F"/>
    <w:rsid w:val="00546105"/>
    <w:rsid w:val="005470C2"/>
    <w:rsid w:val="005502C0"/>
    <w:rsid w:val="005504DF"/>
    <w:rsid w:val="005509F4"/>
    <w:rsid w:val="005510ED"/>
    <w:rsid w:val="00553110"/>
    <w:rsid w:val="005534E3"/>
    <w:rsid w:val="00553617"/>
    <w:rsid w:val="005537EF"/>
    <w:rsid w:val="00553CE9"/>
    <w:rsid w:val="0055454F"/>
    <w:rsid w:val="00555485"/>
    <w:rsid w:val="0055572E"/>
    <w:rsid w:val="00555818"/>
    <w:rsid w:val="00555976"/>
    <w:rsid w:val="00555FBA"/>
    <w:rsid w:val="00557973"/>
    <w:rsid w:val="00560359"/>
    <w:rsid w:val="0056046F"/>
    <w:rsid w:val="00560584"/>
    <w:rsid w:val="00560701"/>
    <w:rsid w:val="00560D08"/>
    <w:rsid w:val="00561B47"/>
    <w:rsid w:val="0056200A"/>
    <w:rsid w:val="00562322"/>
    <w:rsid w:val="00562DB9"/>
    <w:rsid w:val="00563842"/>
    <w:rsid w:val="00563CD5"/>
    <w:rsid w:val="00563DB2"/>
    <w:rsid w:val="005641D7"/>
    <w:rsid w:val="00565218"/>
    <w:rsid w:val="00565CFF"/>
    <w:rsid w:val="00565E63"/>
    <w:rsid w:val="0056635F"/>
    <w:rsid w:val="005666FE"/>
    <w:rsid w:val="00567E6E"/>
    <w:rsid w:val="00570796"/>
    <w:rsid w:val="00571DD5"/>
    <w:rsid w:val="005728BA"/>
    <w:rsid w:val="0057439C"/>
    <w:rsid w:val="005744C9"/>
    <w:rsid w:val="00574F0D"/>
    <w:rsid w:val="005768E9"/>
    <w:rsid w:val="005818BC"/>
    <w:rsid w:val="00582E4C"/>
    <w:rsid w:val="00582FAE"/>
    <w:rsid w:val="00583B67"/>
    <w:rsid w:val="00584102"/>
    <w:rsid w:val="00584128"/>
    <w:rsid w:val="005851D8"/>
    <w:rsid w:val="005856C1"/>
    <w:rsid w:val="00585882"/>
    <w:rsid w:val="00586234"/>
    <w:rsid w:val="00586241"/>
    <w:rsid w:val="00586B2E"/>
    <w:rsid w:val="00586B59"/>
    <w:rsid w:val="00586DDA"/>
    <w:rsid w:val="00586ECD"/>
    <w:rsid w:val="0058707F"/>
    <w:rsid w:val="00587134"/>
    <w:rsid w:val="0059077C"/>
    <w:rsid w:val="005908D1"/>
    <w:rsid w:val="00590E86"/>
    <w:rsid w:val="00592459"/>
    <w:rsid w:val="00592ADD"/>
    <w:rsid w:val="00592E75"/>
    <w:rsid w:val="005930BE"/>
    <w:rsid w:val="00593C77"/>
    <w:rsid w:val="00593DF4"/>
    <w:rsid w:val="00594417"/>
    <w:rsid w:val="005947B1"/>
    <w:rsid w:val="00595985"/>
    <w:rsid w:val="005966B9"/>
    <w:rsid w:val="00596FEF"/>
    <w:rsid w:val="005A05C5"/>
    <w:rsid w:val="005A2924"/>
    <w:rsid w:val="005A3561"/>
    <w:rsid w:val="005A3A3A"/>
    <w:rsid w:val="005A3E6C"/>
    <w:rsid w:val="005A495C"/>
    <w:rsid w:val="005A5368"/>
    <w:rsid w:val="005A5AC8"/>
    <w:rsid w:val="005A736C"/>
    <w:rsid w:val="005A76E0"/>
    <w:rsid w:val="005B0D4E"/>
    <w:rsid w:val="005B1242"/>
    <w:rsid w:val="005B1A15"/>
    <w:rsid w:val="005B2758"/>
    <w:rsid w:val="005B2840"/>
    <w:rsid w:val="005B322E"/>
    <w:rsid w:val="005B3980"/>
    <w:rsid w:val="005B3B5C"/>
    <w:rsid w:val="005B4C0F"/>
    <w:rsid w:val="005B6553"/>
    <w:rsid w:val="005C04DD"/>
    <w:rsid w:val="005C166D"/>
    <w:rsid w:val="005C1778"/>
    <w:rsid w:val="005C19C4"/>
    <w:rsid w:val="005C2914"/>
    <w:rsid w:val="005C4772"/>
    <w:rsid w:val="005C4EBA"/>
    <w:rsid w:val="005C4F49"/>
    <w:rsid w:val="005C577B"/>
    <w:rsid w:val="005C5895"/>
    <w:rsid w:val="005C5ADE"/>
    <w:rsid w:val="005C6150"/>
    <w:rsid w:val="005C65D8"/>
    <w:rsid w:val="005C6A36"/>
    <w:rsid w:val="005C6F3A"/>
    <w:rsid w:val="005C7BF6"/>
    <w:rsid w:val="005D032B"/>
    <w:rsid w:val="005D0956"/>
    <w:rsid w:val="005D0D09"/>
    <w:rsid w:val="005D0FAE"/>
    <w:rsid w:val="005D177C"/>
    <w:rsid w:val="005D24B0"/>
    <w:rsid w:val="005D2FA1"/>
    <w:rsid w:val="005D3804"/>
    <w:rsid w:val="005D387D"/>
    <w:rsid w:val="005D3CE4"/>
    <w:rsid w:val="005D49D2"/>
    <w:rsid w:val="005D4E87"/>
    <w:rsid w:val="005D502E"/>
    <w:rsid w:val="005D525C"/>
    <w:rsid w:val="005D5325"/>
    <w:rsid w:val="005D5A10"/>
    <w:rsid w:val="005D5E67"/>
    <w:rsid w:val="005D6A8A"/>
    <w:rsid w:val="005D6D7B"/>
    <w:rsid w:val="005D799A"/>
    <w:rsid w:val="005D7C89"/>
    <w:rsid w:val="005E0BA3"/>
    <w:rsid w:val="005E1DD7"/>
    <w:rsid w:val="005E2146"/>
    <w:rsid w:val="005E32BC"/>
    <w:rsid w:val="005E3389"/>
    <w:rsid w:val="005E472B"/>
    <w:rsid w:val="005E5037"/>
    <w:rsid w:val="005E5998"/>
    <w:rsid w:val="005E5E9B"/>
    <w:rsid w:val="005E6249"/>
    <w:rsid w:val="005E6743"/>
    <w:rsid w:val="005E6DFF"/>
    <w:rsid w:val="005E6E9C"/>
    <w:rsid w:val="005E74F5"/>
    <w:rsid w:val="005E79E4"/>
    <w:rsid w:val="005E7CA5"/>
    <w:rsid w:val="005F07DC"/>
    <w:rsid w:val="005F31E9"/>
    <w:rsid w:val="005F39F9"/>
    <w:rsid w:val="005F43A2"/>
    <w:rsid w:val="005F4BE2"/>
    <w:rsid w:val="005F4DE8"/>
    <w:rsid w:val="005F50AB"/>
    <w:rsid w:val="005F5986"/>
    <w:rsid w:val="005F5B0A"/>
    <w:rsid w:val="005F6005"/>
    <w:rsid w:val="005F6165"/>
    <w:rsid w:val="005F6186"/>
    <w:rsid w:val="005F6248"/>
    <w:rsid w:val="005F66DB"/>
    <w:rsid w:val="005F698D"/>
    <w:rsid w:val="005F6DCC"/>
    <w:rsid w:val="005F6E0F"/>
    <w:rsid w:val="005F76FB"/>
    <w:rsid w:val="005F78C7"/>
    <w:rsid w:val="00600319"/>
    <w:rsid w:val="00600751"/>
    <w:rsid w:val="00600993"/>
    <w:rsid w:val="006018B6"/>
    <w:rsid w:val="00601A1B"/>
    <w:rsid w:val="00601D6B"/>
    <w:rsid w:val="00601E41"/>
    <w:rsid w:val="006035E8"/>
    <w:rsid w:val="00603B52"/>
    <w:rsid w:val="006042E9"/>
    <w:rsid w:val="00604B40"/>
    <w:rsid w:val="00604FA6"/>
    <w:rsid w:val="0060573D"/>
    <w:rsid w:val="006068A9"/>
    <w:rsid w:val="00606F56"/>
    <w:rsid w:val="00607194"/>
    <w:rsid w:val="0061014B"/>
    <w:rsid w:val="00610342"/>
    <w:rsid w:val="006114DB"/>
    <w:rsid w:val="00613961"/>
    <w:rsid w:val="006159A5"/>
    <w:rsid w:val="00616344"/>
    <w:rsid w:val="0061701E"/>
    <w:rsid w:val="0061734B"/>
    <w:rsid w:val="00620C5B"/>
    <w:rsid w:val="00621142"/>
    <w:rsid w:val="00621F15"/>
    <w:rsid w:val="00621FAA"/>
    <w:rsid w:val="0062347D"/>
    <w:rsid w:val="00623870"/>
    <w:rsid w:val="00626778"/>
    <w:rsid w:val="00626900"/>
    <w:rsid w:val="00627536"/>
    <w:rsid w:val="006306A2"/>
    <w:rsid w:val="006309AA"/>
    <w:rsid w:val="00630BDA"/>
    <w:rsid w:val="00630DCD"/>
    <w:rsid w:val="00630E31"/>
    <w:rsid w:val="0063201A"/>
    <w:rsid w:val="006322C9"/>
    <w:rsid w:val="00632B30"/>
    <w:rsid w:val="00634350"/>
    <w:rsid w:val="006362E1"/>
    <w:rsid w:val="00636C58"/>
    <w:rsid w:val="0063706C"/>
    <w:rsid w:val="00640570"/>
    <w:rsid w:val="00640C78"/>
    <w:rsid w:val="00641E2C"/>
    <w:rsid w:val="00641EDA"/>
    <w:rsid w:val="00641F4D"/>
    <w:rsid w:val="0064262E"/>
    <w:rsid w:val="006426DF"/>
    <w:rsid w:val="0064518F"/>
    <w:rsid w:val="006453DA"/>
    <w:rsid w:val="00645D59"/>
    <w:rsid w:val="006466E5"/>
    <w:rsid w:val="0064734B"/>
    <w:rsid w:val="00647678"/>
    <w:rsid w:val="00647EE9"/>
    <w:rsid w:val="00647F13"/>
    <w:rsid w:val="0065016A"/>
    <w:rsid w:val="00650277"/>
    <w:rsid w:val="00651785"/>
    <w:rsid w:val="006524A9"/>
    <w:rsid w:val="006531F0"/>
    <w:rsid w:val="00653C0E"/>
    <w:rsid w:val="006540B6"/>
    <w:rsid w:val="006540E3"/>
    <w:rsid w:val="00654285"/>
    <w:rsid w:val="006551B2"/>
    <w:rsid w:val="0065553B"/>
    <w:rsid w:val="00655859"/>
    <w:rsid w:val="006562A8"/>
    <w:rsid w:val="00656E68"/>
    <w:rsid w:val="006571E9"/>
    <w:rsid w:val="00657787"/>
    <w:rsid w:val="00657D16"/>
    <w:rsid w:val="00660715"/>
    <w:rsid w:val="006608B4"/>
    <w:rsid w:val="006621A1"/>
    <w:rsid w:val="00663D2B"/>
    <w:rsid w:val="0066405C"/>
    <w:rsid w:val="006642C2"/>
    <w:rsid w:val="006644CD"/>
    <w:rsid w:val="00666149"/>
    <w:rsid w:val="00670A7A"/>
    <w:rsid w:val="00670A96"/>
    <w:rsid w:val="00670B71"/>
    <w:rsid w:val="0067129E"/>
    <w:rsid w:val="006729BC"/>
    <w:rsid w:val="0067310D"/>
    <w:rsid w:val="00673146"/>
    <w:rsid w:val="006736C3"/>
    <w:rsid w:val="00673C72"/>
    <w:rsid w:val="00674408"/>
    <w:rsid w:val="00675A04"/>
    <w:rsid w:val="006764AB"/>
    <w:rsid w:val="006766CE"/>
    <w:rsid w:val="00676898"/>
    <w:rsid w:val="00677115"/>
    <w:rsid w:val="00677937"/>
    <w:rsid w:val="006812BB"/>
    <w:rsid w:val="00681804"/>
    <w:rsid w:val="00682852"/>
    <w:rsid w:val="00683A63"/>
    <w:rsid w:val="00684E79"/>
    <w:rsid w:val="00684F19"/>
    <w:rsid w:val="0068570C"/>
    <w:rsid w:val="006857DB"/>
    <w:rsid w:val="00685966"/>
    <w:rsid w:val="00685A07"/>
    <w:rsid w:val="00686145"/>
    <w:rsid w:val="00686E1D"/>
    <w:rsid w:val="00686E35"/>
    <w:rsid w:val="00686F0C"/>
    <w:rsid w:val="00687181"/>
    <w:rsid w:val="006875BB"/>
    <w:rsid w:val="00687B32"/>
    <w:rsid w:val="0069064B"/>
    <w:rsid w:val="00692234"/>
    <w:rsid w:val="00692B1F"/>
    <w:rsid w:val="00693E28"/>
    <w:rsid w:val="00694EEA"/>
    <w:rsid w:val="00696482"/>
    <w:rsid w:val="00696AB2"/>
    <w:rsid w:val="00696B9E"/>
    <w:rsid w:val="00696D19"/>
    <w:rsid w:val="00696F18"/>
    <w:rsid w:val="00697349"/>
    <w:rsid w:val="00697CD1"/>
    <w:rsid w:val="00697DFE"/>
    <w:rsid w:val="006A0730"/>
    <w:rsid w:val="006A0D16"/>
    <w:rsid w:val="006A0DE6"/>
    <w:rsid w:val="006A111F"/>
    <w:rsid w:val="006A2906"/>
    <w:rsid w:val="006A4879"/>
    <w:rsid w:val="006A4F9E"/>
    <w:rsid w:val="006A5602"/>
    <w:rsid w:val="006A5628"/>
    <w:rsid w:val="006A6717"/>
    <w:rsid w:val="006A6FE2"/>
    <w:rsid w:val="006B02FE"/>
    <w:rsid w:val="006B1121"/>
    <w:rsid w:val="006B14DC"/>
    <w:rsid w:val="006B1B53"/>
    <w:rsid w:val="006B1BCF"/>
    <w:rsid w:val="006B2C52"/>
    <w:rsid w:val="006B365D"/>
    <w:rsid w:val="006B367D"/>
    <w:rsid w:val="006B40D9"/>
    <w:rsid w:val="006B54B1"/>
    <w:rsid w:val="006B58DE"/>
    <w:rsid w:val="006B6872"/>
    <w:rsid w:val="006B78FA"/>
    <w:rsid w:val="006B7CD4"/>
    <w:rsid w:val="006C0714"/>
    <w:rsid w:val="006C0882"/>
    <w:rsid w:val="006C16F8"/>
    <w:rsid w:val="006C20E9"/>
    <w:rsid w:val="006C2ECF"/>
    <w:rsid w:val="006C3CA0"/>
    <w:rsid w:val="006C4257"/>
    <w:rsid w:val="006C45DC"/>
    <w:rsid w:val="006C5752"/>
    <w:rsid w:val="006C6FDD"/>
    <w:rsid w:val="006C726D"/>
    <w:rsid w:val="006C77F1"/>
    <w:rsid w:val="006D0702"/>
    <w:rsid w:val="006D1061"/>
    <w:rsid w:val="006D1A4D"/>
    <w:rsid w:val="006D2B25"/>
    <w:rsid w:val="006D419F"/>
    <w:rsid w:val="006D4322"/>
    <w:rsid w:val="006D4BFA"/>
    <w:rsid w:val="006D52C6"/>
    <w:rsid w:val="006D5EC9"/>
    <w:rsid w:val="006D61C4"/>
    <w:rsid w:val="006D665F"/>
    <w:rsid w:val="006D6931"/>
    <w:rsid w:val="006E04BE"/>
    <w:rsid w:val="006E0C51"/>
    <w:rsid w:val="006E0C8A"/>
    <w:rsid w:val="006E1446"/>
    <w:rsid w:val="006E24AD"/>
    <w:rsid w:val="006E2734"/>
    <w:rsid w:val="006E327B"/>
    <w:rsid w:val="006E4002"/>
    <w:rsid w:val="006E49B5"/>
    <w:rsid w:val="006E4CA2"/>
    <w:rsid w:val="006E6185"/>
    <w:rsid w:val="006E6446"/>
    <w:rsid w:val="006E69B8"/>
    <w:rsid w:val="006E71C5"/>
    <w:rsid w:val="006F1978"/>
    <w:rsid w:val="006F1E92"/>
    <w:rsid w:val="006F23AC"/>
    <w:rsid w:val="006F434B"/>
    <w:rsid w:val="006F45DD"/>
    <w:rsid w:val="006F4759"/>
    <w:rsid w:val="006F4894"/>
    <w:rsid w:val="006F57CB"/>
    <w:rsid w:val="006F5DEA"/>
    <w:rsid w:val="006F6163"/>
    <w:rsid w:val="006F7B9F"/>
    <w:rsid w:val="007004E1"/>
    <w:rsid w:val="007004E2"/>
    <w:rsid w:val="0070075B"/>
    <w:rsid w:val="00701168"/>
    <w:rsid w:val="007014AD"/>
    <w:rsid w:val="00701AFA"/>
    <w:rsid w:val="007021E0"/>
    <w:rsid w:val="00702517"/>
    <w:rsid w:val="00703338"/>
    <w:rsid w:val="0070401F"/>
    <w:rsid w:val="007045F0"/>
    <w:rsid w:val="00705148"/>
    <w:rsid w:val="007071AE"/>
    <w:rsid w:val="0071027E"/>
    <w:rsid w:val="00710D2D"/>
    <w:rsid w:val="0071139B"/>
    <w:rsid w:val="007117F5"/>
    <w:rsid w:val="007127E8"/>
    <w:rsid w:val="00712890"/>
    <w:rsid w:val="007129A2"/>
    <w:rsid w:val="00712F36"/>
    <w:rsid w:val="00713083"/>
    <w:rsid w:val="007132B3"/>
    <w:rsid w:val="00714F74"/>
    <w:rsid w:val="00715AA9"/>
    <w:rsid w:val="00715FC9"/>
    <w:rsid w:val="007163F6"/>
    <w:rsid w:val="007175D5"/>
    <w:rsid w:val="007177E6"/>
    <w:rsid w:val="00720588"/>
    <w:rsid w:val="00720FF6"/>
    <w:rsid w:val="00721254"/>
    <w:rsid w:val="007219D4"/>
    <w:rsid w:val="00722681"/>
    <w:rsid w:val="007232F5"/>
    <w:rsid w:val="0072465F"/>
    <w:rsid w:val="00724A7A"/>
    <w:rsid w:val="007264FC"/>
    <w:rsid w:val="00726C53"/>
    <w:rsid w:val="00727B49"/>
    <w:rsid w:val="007311C3"/>
    <w:rsid w:val="007316EE"/>
    <w:rsid w:val="00731BB0"/>
    <w:rsid w:val="007324DB"/>
    <w:rsid w:val="00732E12"/>
    <w:rsid w:val="00733233"/>
    <w:rsid w:val="00733AB3"/>
    <w:rsid w:val="00733C2A"/>
    <w:rsid w:val="00733C8D"/>
    <w:rsid w:val="00734686"/>
    <w:rsid w:val="00734910"/>
    <w:rsid w:val="00735116"/>
    <w:rsid w:val="00735259"/>
    <w:rsid w:val="007359BC"/>
    <w:rsid w:val="00736FEC"/>
    <w:rsid w:val="00740ED9"/>
    <w:rsid w:val="0074154D"/>
    <w:rsid w:val="00741793"/>
    <w:rsid w:val="00742830"/>
    <w:rsid w:val="00743B6E"/>
    <w:rsid w:val="00744A03"/>
    <w:rsid w:val="00745377"/>
    <w:rsid w:val="00745EF6"/>
    <w:rsid w:val="00745FD3"/>
    <w:rsid w:val="00746395"/>
    <w:rsid w:val="007475E9"/>
    <w:rsid w:val="007477B6"/>
    <w:rsid w:val="00747F63"/>
    <w:rsid w:val="00750332"/>
    <w:rsid w:val="007504D4"/>
    <w:rsid w:val="0075072E"/>
    <w:rsid w:val="0075168A"/>
    <w:rsid w:val="00752E0A"/>
    <w:rsid w:val="00753077"/>
    <w:rsid w:val="0075314C"/>
    <w:rsid w:val="00753791"/>
    <w:rsid w:val="0075395E"/>
    <w:rsid w:val="007547BF"/>
    <w:rsid w:val="00754D07"/>
    <w:rsid w:val="00754E5C"/>
    <w:rsid w:val="00755593"/>
    <w:rsid w:val="00755D18"/>
    <w:rsid w:val="007561FA"/>
    <w:rsid w:val="00756ED5"/>
    <w:rsid w:val="00756FBD"/>
    <w:rsid w:val="0075766E"/>
    <w:rsid w:val="007606D8"/>
    <w:rsid w:val="00760CFF"/>
    <w:rsid w:val="007634FD"/>
    <w:rsid w:val="007635F8"/>
    <w:rsid w:val="00764B79"/>
    <w:rsid w:val="00764BF0"/>
    <w:rsid w:val="00764E7F"/>
    <w:rsid w:val="007651FF"/>
    <w:rsid w:val="0076550C"/>
    <w:rsid w:val="00765619"/>
    <w:rsid w:val="00765884"/>
    <w:rsid w:val="00765B02"/>
    <w:rsid w:val="00765FCA"/>
    <w:rsid w:val="00766995"/>
    <w:rsid w:val="0076765D"/>
    <w:rsid w:val="00770115"/>
    <w:rsid w:val="0077018F"/>
    <w:rsid w:val="0077080D"/>
    <w:rsid w:val="007715AE"/>
    <w:rsid w:val="00772D94"/>
    <w:rsid w:val="0077497E"/>
    <w:rsid w:val="00774D27"/>
    <w:rsid w:val="0077656C"/>
    <w:rsid w:val="00777C6B"/>
    <w:rsid w:val="007805FD"/>
    <w:rsid w:val="00781D0D"/>
    <w:rsid w:val="007841D9"/>
    <w:rsid w:val="00784292"/>
    <w:rsid w:val="00785469"/>
    <w:rsid w:val="00785A17"/>
    <w:rsid w:val="00785FBC"/>
    <w:rsid w:val="00787440"/>
    <w:rsid w:val="00787473"/>
    <w:rsid w:val="0079017A"/>
    <w:rsid w:val="007902BF"/>
    <w:rsid w:val="00791A32"/>
    <w:rsid w:val="00791F0E"/>
    <w:rsid w:val="00791F1B"/>
    <w:rsid w:val="00792F2A"/>
    <w:rsid w:val="00793641"/>
    <w:rsid w:val="00793E91"/>
    <w:rsid w:val="0079431F"/>
    <w:rsid w:val="00794860"/>
    <w:rsid w:val="00795833"/>
    <w:rsid w:val="00796CF4"/>
    <w:rsid w:val="0079741B"/>
    <w:rsid w:val="007A04D9"/>
    <w:rsid w:val="007A0B62"/>
    <w:rsid w:val="007A1515"/>
    <w:rsid w:val="007A33F0"/>
    <w:rsid w:val="007A5991"/>
    <w:rsid w:val="007A6C3D"/>
    <w:rsid w:val="007A6C5E"/>
    <w:rsid w:val="007B0741"/>
    <w:rsid w:val="007B0C31"/>
    <w:rsid w:val="007B1980"/>
    <w:rsid w:val="007B1AD9"/>
    <w:rsid w:val="007B2B6E"/>
    <w:rsid w:val="007B4018"/>
    <w:rsid w:val="007B4766"/>
    <w:rsid w:val="007B4BDF"/>
    <w:rsid w:val="007B510C"/>
    <w:rsid w:val="007B598A"/>
    <w:rsid w:val="007B6B66"/>
    <w:rsid w:val="007B6D58"/>
    <w:rsid w:val="007B6FA4"/>
    <w:rsid w:val="007C05A3"/>
    <w:rsid w:val="007C073E"/>
    <w:rsid w:val="007C1B11"/>
    <w:rsid w:val="007C224E"/>
    <w:rsid w:val="007C3EFD"/>
    <w:rsid w:val="007C59EA"/>
    <w:rsid w:val="007C63EE"/>
    <w:rsid w:val="007C6AAC"/>
    <w:rsid w:val="007C6F87"/>
    <w:rsid w:val="007C7097"/>
    <w:rsid w:val="007D0919"/>
    <w:rsid w:val="007D0920"/>
    <w:rsid w:val="007D192D"/>
    <w:rsid w:val="007D280F"/>
    <w:rsid w:val="007D2DF8"/>
    <w:rsid w:val="007D2DFB"/>
    <w:rsid w:val="007D36F2"/>
    <w:rsid w:val="007D3C6B"/>
    <w:rsid w:val="007D4841"/>
    <w:rsid w:val="007D57AB"/>
    <w:rsid w:val="007D5D83"/>
    <w:rsid w:val="007E15B2"/>
    <w:rsid w:val="007E18E4"/>
    <w:rsid w:val="007E2623"/>
    <w:rsid w:val="007E27DC"/>
    <w:rsid w:val="007E3683"/>
    <w:rsid w:val="007E4621"/>
    <w:rsid w:val="007E5732"/>
    <w:rsid w:val="007E6A72"/>
    <w:rsid w:val="007E7434"/>
    <w:rsid w:val="007E7915"/>
    <w:rsid w:val="007E7CF2"/>
    <w:rsid w:val="007F0588"/>
    <w:rsid w:val="007F2646"/>
    <w:rsid w:val="007F2A18"/>
    <w:rsid w:val="007F2D89"/>
    <w:rsid w:val="007F3195"/>
    <w:rsid w:val="007F3C4E"/>
    <w:rsid w:val="007F4D12"/>
    <w:rsid w:val="007F5E25"/>
    <w:rsid w:val="007F6429"/>
    <w:rsid w:val="007F69F3"/>
    <w:rsid w:val="007F75D8"/>
    <w:rsid w:val="007F7E78"/>
    <w:rsid w:val="00801152"/>
    <w:rsid w:val="008015FE"/>
    <w:rsid w:val="00801752"/>
    <w:rsid w:val="00801B42"/>
    <w:rsid w:val="008027A4"/>
    <w:rsid w:val="00802B2A"/>
    <w:rsid w:val="00802D38"/>
    <w:rsid w:val="008030F9"/>
    <w:rsid w:val="00804AAB"/>
    <w:rsid w:val="00804DF5"/>
    <w:rsid w:val="00805850"/>
    <w:rsid w:val="0080610A"/>
    <w:rsid w:val="00806C18"/>
    <w:rsid w:val="00807830"/>
    <w:rsid w:val="0081319B"/>
    <w:rsid w:val="00813230"/>
    <w:rsid w:val="00813E13"/>
    <w:rsid w:val="00814EF2"/>
    <w:rsid w:val="00815375"/>
    <w:rsid w:val="00815A7F"/>
    <w:rsid w:val="00816DDD"/>
    <w:rsid w:val="00817AA6"/>
    <w:rsid w:val="00817D08"/>
    <w:rsid w:val="00820657"/>
    <w:rsid w:val="00820BC1"/>
    <w:rsid w:val="00820E00"/>
    <w:rsid w:val="00820F6E"/>
    <w:rsid w:val="00821483"/>
    <w:rsid w:val="008214E3"/>
    <w:rsid w:val="00822732"/>
    <w:rsid w:val="008227B4"/>
    <w:rsid w:val="008232F1"/>
    <w:rsid w:val="008246E6"/>
    <w:rsid w:val="0082507B"/>
    <w:rsid w:val="00825250"/>
    <w:rsid w:val="00825FB2"/>
    <w:rsid w:val="0082732A"/>
    <w:rsid w:val="00827851"/>
    <w:rsid w:val="00827954"/>
    <w:rsid w:val="00827D1F"/>
    <w:rsid w:val="0083020D"/>
    <w:rsid w:val="00831454"/>
    <w:rsid w:val="008318A4"/>
    <w:rsid w:val="0083274A"/>
    <w:rsid w:val="00834440"/>
    <w:rsid w:val="00835C6B"/>
    <w:rsid w:val="00836FD4"/>
    <w:rsid w:val="00837887"/>
    <w:rsid w:val="00841CE9"/>
    <w:rsid w:val="00841E24"/>
    <w:rsid w:val="0084230E"/>
    <w:rsid w:val="008435EC"/>
    <w:rsid w:val="0084429C"/>
    <w:rsid w:val="0084446F"/>
    <w:rsid w:val="00844A15"/>
    <w:rsid w:val="008452D7"/>
    <w:rsid w:val="008453CA"/>
    <w:rsid w:val="00845C9B"/>
    <w:rsid w:val="008469D0"/>
    <w:rsid w:val="00846FFC"/>
    <w:rsid w:val="00847F0A"/>
    <w:rsid w:val="008507F9"/>
    <w:rsid w:val="00850AEC"/>
    <w:rsid w:val="00850B3F"/>
    <w:rsid w:val="00851DAF"/>
    <w:rsid w:val="00852630"/>
    <w:rsid w:val="00856473"/>
    <w:rsid w:val="008570AA"/>
    <w:rsid w:val="00857618"/>
    <w:rsid w:val="00860520"/>
    <w:rsid w:val="00860773"/>
    <w:rsid w:val="00860A80"/>
    <w:rsid w:val="00860D4E"/>
    <w:rsid w:val="008617E5"/>
    <w:rsid w:val="008619C8"/>
    <w:rsid w:val="00862516"/>
    <w:rsid w:val="00862A10"/>
    <w:rsid w:val="00862E5D"/>
    <w:rsid w:val="00864395"/>
    <w:rsid w:val="0086488C"/>
    <w:rsid w:val="00864F53"/>
    <w:rsid w:val="00864FD9"/>
    <w:rsid w:val="00865314"/>
    <w:rsid w:val="00865A89"/>
    <w:rsid w:val="00865B0A"/>
    <w:rsid w:val="00865D8F"/>
    <w:rsid w:val="00866E2E"/>
    <w:rsid w:val="00867B4E"/>
    <w:rsid w:val="00870300"/>
    <w:rsid w:val="0087072C"/>
    <w:rsid w:val="008709B1"/>
    <w:rsid w:val="00870CCE"/>
    <w:rsid w:val="008714A1"/>
    <w:rsid w:val="00872DDD"/>
    <w:rsid w:val="0087316C"/>
    <w:rsid w:val="008734F2"/>
    <w:rsid w:val="00875369"/>
    <w:rsid w:val="00875CC5"/>
    <w:rsid w:val="008760C1"/>
    <w:rsid w:val="0087771E"/>
    <w:rsid w:val="00877FBF"/>
    <w:rsid w:val="0088089C"/>
    <w:rsid w:val="00880A7F"/>
    <w:rsid w:val="00881A35"/>
    <w:rsid w:val="00881C1C"/>
    <w:rsid w:val="008827A6"/>
    <w:rsid w:val="0088285F"/>
    <w:rsid w:val="008828B4"/>
    <w:rsid w:val="008857A7"/>
    <w:rsid w:val="00886B81"/>
    <w:rsid w:val="00886E5A"/>
    <w:rsid w:val="00887462"/>
    <w:rsid w:val="00887479"/>
    <w:rsid w:val="00887A27"/>
    <w:rsid w:val="0089004D"/>
    <w:rsid w:val="00890CFD"/>
    <w:rsid w:val="0089178F"/>
    <w:rsid w:val="00891C8C"/>
    <w:rsid w:val="00892EFE"/>
    <w:rsid w:val="00893A09"/>
    <w:rsid w:val="0089466D"/>
    <w:rsid w:val="0089499E"/>
    <w:rsid w:val="0089560F"/>
    <w:rsid w:val="00895728"/>
    <w:rsid w:val="00895943"/>
    <w:rsid w:val="00895C20"/>
    <w:rsid w:val="008A0359"/>
    <w:rsid w:val="008A0F1B"/>
    <w:rsid w:val="008A142E"/>
    <w:rsid w:val="008A24EE"/>
    <w:rsid w:val="008A2824"/>
    <w:rsid w:val="008A3079"/>
    <w:rsid w:val="008A344F"/>
    <w:rsid w:val="008A3906"/>
    <w:rsid w:val="008A39B0"/>
    <w:rsid w:val="008A40F7"/>
    <w:rsid w:val="008A447B"/>
    <w:rsid w:val="008A4C6F"/>
    <w:rsid w:val="008A4FB9"/>
    <w:rsid w:val="008A632C"/>
    <w:rsid w:val="008A644D"/>
    <w:rsid w:val="008A6897"/>
    <w:rsid w:val="008A6A82"/>
    <w:rsid w:val="008A6F8C"/>
    <w:rsid w:val="008A7826"/>
    <w:rsid w:val="008A7B31"/>
    <w:rsid w:val="008A7D24"/>
    <w:rsid w:val="008A7E77"/>
    <w:rsid w:val="008A7FD9"/>
    <w:rsid w:val="008B02B9"/>
    <w:rsid w:val="008B03DD"/>
    <w:rsid w:val="008B0775"/>
    <w:rsid w:val="008B0A3F"/>
    <w:rsid w:val="008B1881"/>
    <w:rsid w:val="008B230A"/>
    <w:rsid w:val="008B3BC0"/>
    <w:rsid w:val="008B418D"/>
    <w:rsid w:val="008B4AC7"/>
    <w:rsid w:val="008B54F1"/>
    <w:rsid w:val="008B5C92"/>
    <w:rsid w:val="008B5F77"/>
    <w:rsid w:val="008B6ADA"/>
    <w:rsid w:val="008B71B3"/>
    <w:rsid w:val="008B7263"/>
    <w:rsid w:val="008B735A"/>
    <w:rsid w:val="008B7DF1"/>
    <w:rsid w:val="008B7E08"/>
    <w:rsid w:val="008C0419"/>
    <w:rsid w:val="008C0650"/>
    <w:rsid w:val="008C08F2"/>
    <w:rsid w:val="008C09BD"/>
    <w:rsid w:val="008C140B"/>
    <w:rsid w:val="008C2927"/>
    <w:rsid w:val="008C3707"/>
    <w:rsid w:val="008C43A6"/>
    <w:rsid w:val="008C4671"/>
    <w:rsid w:val="008C5299"/>
    <w:rsid w:val="008C5653"/>
    <w:rsid w:val="008C5930"/>
    <w:rsid w:val="008C67E3"/>
    <w:rsid w:val="008C699D"/>
    <w:rsid w:val="008C6D98"/>
    <w:rsid w:val="008D0446"/>
    <w:rsid w:val="008D0710"/>
    <w:rsid w:val="008D08EB"/>
    <w:rsid w:val="008D0CD2"/>
    <w:rsid w:val="008D1449"/>
    <w:rsid w:val="008D1B4D"/>
    <w:rsid w:val="008D2F55"/>
    <w:rsid w:val="008D3090"/>
    <w:rsid w:val="008D3320"/>
    <w:rsid w:val="008D4FD2"/>
    <w:rsid w:val="008D56A0"/>
    <w:rsid w:val="008D5C65"/>
    <w:rsid w:val="008D6D1E"/>
    <w:rsid w:val="008D6FD0"/>
    <w:rsid w:val="008D71EA"/>
    <w:rsid w:val="008E0566"/>
    <w:rsid w:val="008E0982"/>
    <w:rsid w:val="008E0C11"/>
    <w:rsid w:val="008E0CD8"/>
    <w:rsid w:val="008E0D35"/>
    <w:rsid w:val="008E15BD"/>
    <w:rsid w:val="008E1D86"/>
    <w:rsid w:val="008E21D5"/>
    <w:rsid w:val="008E25A8"/>
    <w:rsid w:val="008E3476"/>
    <w:rsid w:val="008E39DF"/>
    <w:rsid w:val="008E3CDA"/>
    <w:rsid w:val="008E3F65"/>
    <w:rsid w:val="008E3F6A"/>
    <w:rsid w:val="008E43C3"/>
    <w:rsid w:val="008E5C53"/>
    <w:rsid w:val="008E5D6E"/>
    <w:rsid w:val="008E62E3"/>
    <w:rsid w:val="008F03C8"/>
    <w:rsid w:val="008F2CE0"/>
    <w:rsid w:val="008F3761"/>
    <w:rsid w:val="008F3BE8"/>
    <w:rsid w:val="008F3D66"/>
    <w:rsid w:val="008F40D0"/>
    <w:rsid w:val="008F4EAB"/>
    <w:rsid w:val="008F5992"/>
    <w:rsid w:val="008F5EC0"/>
    <w:rsid w:val="008F6201"/>
    <w:rsid w:val="008F6424"/>
    <w:rsid w:val="008F644F"/>
    <w:rsid w:val="008F691C"/>
    <w:rsid w:val="008F71BB"/>
    <w:rsid w:val="008F7D61"/>
    <w:rsid w:val="008F7FAA"/>
    <w:rsid w:val="00900ACA"/>
    <w:rsid w:val="009018DF"/>
    <w:rsid w:val="0090212B"/>
    <w:rsid w:val="009024C3"/>
    <w:rsid w:val="00903027"/>
    <w:rsid w:val="00903FF9"/>
    <w:rsid w:val="009047D1"/>
    <w:rsid w:val="00904892"/>
    <w:rsid w:val="00905894"/>
    <w:rsid w:val="00905F4B"/>
    <w:rsid w:val="00906419"/>
    <w:rsid w:val="009065C4"/>
    <w:rsid w:val="00907DB9"/>
    <w:rsid w:val="00911C66"/>
    <w:rsid w:val="00911CE5"/>
    <w:rsid w:val="00912F87"/>
    <w:rsid w:val="009131FF"/>
    <w:rsid w:val="00914544"/>
    <w:rsid w:val="0091477D"/>
    <w:rsid w:val="00915227"/>
    <w:rsid w:val="00915255"/>
    <w:rsid w:val="00915BCD"/>
    <w:rsid w:val="00917CFC"/>
    <w:rsid w:val="0092070F"/>
    <w:rsid w:val="00921052"/>
    <w:rsid w:val="009210EC"/>
    <w:rsid w:val="00921449"/>
    <w:rsid w:val="00921F4C"/>
    <w:rsid w:val="0092398B"/>
    <w:rsid w:val="009245CB"/>
    <w:rsid w:val="00924BF7"/>
    <w:rsid w:val="00924C28"/>
    <w:rsid w:val="0092508B"/>
    <w:rsid w:val="00925D75"/>
    <w:rsid w:val="00926042"/>
    <w:rsid w:val="00926EE9"/>
    <w:rsid w:val="0093192D"/>
    <w:rsid w:val="00931D51"/>
    <w:rsid w:val="00932A4E"/>
    <w:rsid w:val="00932D03"/>
    <w:rsid w:val="009336AE"/>
    <w:rsid w:val="00933F1D"/>
    <w:rsid w:val="009341AD"/>
    <w:rsid w:val="0093549B"/>
    <w:rsid w:val="009372C9"/>
    <w:rsid w:val="00937F78"/>
    <w:rsid w:val="00940160"/>
    <w:rsid w:val="00940BC1"/>
    <w:rsid w:val="0094171D"/>
    <w:rsid w:val="009419C4"/>
    <w:rsid w:val="0094215B"/>
    <w:rsid w:val="00942588"/>
    <w:rsid w:val="00942ABD"/>
    <w:rsid w:val="00942B69"/>
    <w:rsid w:val="00942C7A"/>
    <w:rsid w:val="00942D72"/>
    <w:rsid w:val="009458CC"/>
    <w:rsid w:val="00951C00"/>
    <w:rsid w:val="009528CA"/>
    <w:rsid w:val="00953C36"/>
    <w:rsid w:val="0095414C"/>
    <w:rsid w:val="00954966"/>
    <w:rsid w:val="00955CE0"/>
    <w:rsid w:val="00956483"/>
    <w:rsid w:val="009564C1"/>
    <w:rsid w:val="00956DE9"/>
    <w:rsid w:val="00956DF8"/>
    <w:rsid w:val="00957A9C"/>
    <w:rsid w:val="00960941"/>
    <w:rsid w:val="009617A8"/>
    <w:rsid w:val="00961D93"/>
    <w:rsid w:val="00961E33"/>
    <w:rsid w:val="009638FB"/>
    <w:rsid w:val="0096399B"/>
    <w:rsid w:val="009639BF"/>
    <w:rsid w:val="0096632B"/>
    <w:rsid w:val="00967C03"/>
    <w:rsid w:val="00967C89"/>
    <w:rsid w:val="00967E66"/>
    <w:rsid w:val="00970544"/>
    <w:rsid w:val="009710CA"/>
    <w:rsid w:val="0097124D"/>
    <w:rsid w:val="00971DAC"/>
    <w:rsid w:val="00972200"/>
    <w:rsid w:val="00972A80"/>
    <w:rsid w:val="009735FB"/>
    <w:rsid w:val="00973662"/>
    <w:rsid w:val="0097378E"/>
    <w:rsid w:val="00973C7F"/>
    <w:rsid w:val="00975855"/>
    <w:rsid w:val="009764A2"/>
    <w:rsid w:val="00976549"/>
    <w:rsid w:val="00977FD3"/>
    <w:rsid w:val="00980265"/>
    <w:rsid w:val="00980A02"/>
    <w:rsid w:val="00981597"/>
    <w:rsid w:val="009819BD"/>
    <w:rsid w:val="00981CFB"/>
    <w:rsid w:val="00982E58"/>
    <w:rsid w:val="009836E0"/>
    <w:rsid w:val="00983819"/>
    <w:rsid w:val="00984150"/>
    <w:rsid w:val="009850F0"/>
    <w:rsid w:val="00985221"/>
    <w:rsid w:val="0098557B"/>
    <w:rsid w:val="0098775B"/>
    <w:rsid w:val="00990D7F"/>
    <w:rsid w:val="0099119E"/>
    <w:rsid w:val="00991E65"/>
    <w:rsid w:val="00992ADE"/>
    <w:rsid w:val="00992E8D"/>
    <w:rsid w:val="00993567"/>
    <w:rsid w:val="00993645"/>
    <w:rsid w:val="00993674"/>
    <w:rsid w:val="00993E42"/>
    <w:rsid w:val="0099464F"/>
    <w:rsid w:val="009949CD"/>
    <w:rsid w:val="0099590B"/>
    <w:rsid w:val="00996312"/>
    <w:rsid w:val="00996777"/>
    <w:rsid w:val="00996918"/>
    <w:rsid w:val="00996AC6"/>
    <w:rsid w:val="009971B3"/>
    <w:rsid w:val="009A04BB"/>
    <w:rsid w:val="009A092D"/>
    <w:rsid w:val="009A20A2"/>
    <w:rsid w:val="009A23ED"/>
    <w:rsid w:val="009A2AAA"/>
    <w:rsid w:val="009A3097"/>
    <w:rsid w:val="009A42F4"/>
    <w:rsid w:val="009A4495"/>
    <w:rsid w:val="009A5E16"/>
    <w:rsid w:val="009A6D00"/>
    <w:rsid w:val="009A6F1E"/>
    <w:rsid w:val="009B0E34"/>
    <w:rsid w:val="009B2258"/>
    <w:rsid w:val="009B257D"/>
    <w:rsid w:val="009B2A00"/>
    <w:rsid w:val="009B2A0C"/>
    <w:rsid w:val="009B35EB"/>
    <w:rsid w:val="009B3F59"/>
    <w:rsid w:val="009B515D"/>
    <w:rsid w:val="009B5E7C"/>
    <w:rsid w:val="009B5F80"/>
    <w:rsid w:val="009C1291"/>
    <w:rsid w:val="009C137F"/>
    <w:rsid w:val="009C1D85"/>
    <w:rsid w:val="009C27F1"/>
    <w:rsid w:val="009C399F"/>
    <w:rsid w:val="009C4552"/>
    <w:rsid w:val="009C46A6"/>
    <w:rsid w:val="009C4E46"/>
    <w:rsid w:val="009C5B21"/>
    <w:rsid w:val="009C5E0D"/>
    <w:rsid w:val="009C6BB4"/>
    <w:rsid w:val="009C781D"/>
    <w:rsid w:val="009D08F6"/>
    <w:rsid w:val="009D0E56"/>
    <w:rsid w:val="009D0F3D"/>
    <w:rsid w:val="009D11E9"/>
    <w:rsid w:val="009D282E"/>
    <w:rsid w:val="009D295A"/>
    <w:rsid w:val="009D2F72"/>
    <w:rsid w:val="009D33C2"/>
    <w:rsid w:val="009D3798"/>
    <w:rsid w:val="009D3E17"/>
    <w:rsid w:val="009D6395"/>
    <w:rsid w:val="009D655F"/>
    <w:rsid w:val="009D6A5E"/>
    <w:rsid w:val="009D706D"/>
    <w:rsid w:val="009D7C49"/>
    <w:rsid w:val="009E2854"/>
    <w:rsid w:val="009E2F20"/>
    <w:rsid w:val="009E2FCF"/>
    <w:rsid w:val="009E33EB"/>
    <w:rsid w:val="009E3790"/>
    <w:rsid w:val="009E3D7E"/>
    <w:rsid w:val="009E5FD8"/>
    <w:rsid w:val="009E6378"/>
    <w:rsid w:val="009E6FCE"/>
    <w:rsid w:val="009E7117"/>
    <w:rsid w:val="009E7BE1"/>
    <w:rsid w:val="009F1716"/>
    <w:rsid w:val="009F1F7F"/>
    <w:rsid w:val="009F2FF4"/>
    <w:rsid w:val="009F3492"/>
    <w:rsid w:val="009F34D1"/>
    <w:rsid w:val="009F3B1F"/>
    <w:rsid w:val="009F4233"/>
    <w:rsid w:val="009F4E5F"/>
    <w:rsid w:val="009F5103"/>
    <w:rsid w:val="009F5E12"/>
    <w:rsid w:val="009F606D"/>
    <w:rsid w:val="009F6E45"/>
    <w:rsid w:val="009F7656"/>
    <w:rsid w:val="009F7C2C"/>
    <w:rsid w:val="00A00519"/>
    <w:rsid w:val="00A00D43"/>
    <w:rsid w:val="00A01532"/>
    <w:rsid w:val="00A01582"/>
    <w:rsid w:val="00A01E99"/>
    <w:rsid w:val="00A02E9C"/>
    <w:rsid w:val="00A036CF"/>
    <w:rsid w:val="00A05506"/>
    <w:rsid w:val="00A057B9"/>
    <w:rsid w:val="00A05C71"/>
    <w:rsid w:val="00A06080"/>
    <w:rsid w:val="00A06197"/>
    <w:rsid w:val="00A061D7"/>
    <w:rsid w:val="00A061F5"/>
    <w:rsid w:val="00A065BC"/>
    <w:rsid w:val="00A079F2"/>
    <w:rsid w:val="00A07D11"/>
    <w:rsid w:val="00A07E2F"/>
    <w:rsid w:val="00A1021F"/>
    <w:rsid w:val="00A10475"/>
    <w:rsid w:val="00A1159D"/>
    <w:rsid w:val="00A11D66"/>
    <w:rsid w:val="00A121DE"/>
    <w:rsid w:val="00A12476"/>
    <w:rsid w:val="00A12495"/>
    <w:rsid w:val="00A12A5F"/>
    <w:rsid w:val="00A1439B"/>
    <w:rsid w:val="00A1552D"/>
    <w:rsid w:val="00A1564A"/>
    <w:rsid w:val="00A1567D"/>
    <w:rsid w:val="00A157D8"/>
    <w:rsid w:val="00A15ABC"/>
    <w:rsid w:val="00A17391"/>
    <w:rsid w:val="00A17E44"/>
    <w:rsid w:val="00A2045A"/>
    <w:rsid w:val="00A20AD4"/>
    <w:rsid w:val="00A210A8"/>
    <w:rsid w:val="00A2252E"/>
    <w:rsid w:val="00A23004"/>
    <w:rsid w:val="00A2505C"/>
    <w:rsid w:val="00A2587A"/>
    <w:rsid w:val="00A25B86"/>
    <w:rsid w:val="00A27854"/>
    <w:rsid w:val="00A27AB0"/>
    <w:rsid w:val="00A3011C"/>
    <w:rsid w:val="00A31ACC"/>
    <w:rsid w:val="00A31B1E"/>
    <w:rsid w:val="00A31B2B"/>
    <w:rsid w:val="00A320C5"/>
    <w:rsid w:val="00A32400"/>
    <w:rsid w:val="00A32C65"/>
    <w:rsid w:val="00A344CD"/>
    <w:rsid w:val="00A34919"/>
    <w:rsid w:val="00A34A0D"/>
    <w:rsid w:val="00A34F04"/>
    <w:rsid w:val="00A353FC"/>
    <w:rsid w:val="00A3569B"/>
    <w:rsid w:val="00A35A14"/>
    <w:rsid w:val="00A35A7C"/>
    <w:rsid w:val="00A360D3"/>
    <w:rsid w:val="00A3675B"/>
    <w:rsid w:val="00A36CF1"/>
    <w:rsid w:val="00A36FB4"/>
    <w:rsid w:val="00A3772E"/>
    <w:rsid w:val="00A377D2"/>
    <w:rsid w:val="00A37D18"/>
    <w:rsid w:val="00A40826"/>
    <w:rsid w:val="00A40E28"/>
    <w:rsid w:val="00A41AC6"/>
    <w:rsid w:val="00A4222D"/>
    <w:rsid w:val="00A425D1"/>
    <w:rsid w:val="00A43172"/>
    <w:rsid w:val="00A43972"/>
    <w:rsid w:val="00A43DD5"/>
    <w:rsid w:val="00A44A8E"/>
    <w:rsid w:val="00A44F25"/>
    <w:rsid w:val="00A46456"/>
    <w:rsid w:val="00A465EB"/>
    <w:rsid w:val="00A46699"/>
    <w:rsid w:val="00A4724A"/>
    <w:rsid w:val="00A5064B"/>
    <w:rsid w:val="00A5067C"/>
    <w:rsid w:val="00A50DD0"/>
    <w:rsid w:val="00A51465"/>
    <w:rsid w:val="00A514AD"/>
    <w:rsid w:val="00A52B3D"/>
    <w:rsid w:val="00A52BEF"/>
    <w:rsid w:val="00A52D70"/>
    <w:rsid w:val="00A53748"/>
    <w:rsid w:val="00A538F1"/>
    <w:rsid w:val="00A5401C"/>
    <w:rsid w:val="00A54520"/>
    <w:rsid w:val="00A54602"/>
    <w:rsid w:val="00A550DA"/>
    <w:rsid w:val="00A55927"/>
    <w:rsid w:val="00A55BCC"/>
    <w:rsid w:val="00A55F82"/>
    <w:rsid w:val="00A5766F"/>
    <w:rsid w:val="00A57D6D"/>
    <w:rsid w:val="00A60389"/>
    <w:rsid w:val="00A60D96"/>
    <w:rsid w:val="00A60FCC"/>
    <w:rsid w:val="00A62B6E"/>
    <w:rsid w:val="00A62F1F"/>
    <w:rsid w:val="00A6362C"/>
    <w:rsid w:val="00A637B7"/>
    <w:rsid w:val="00A64171"/>
    <w:rsid w:val="00A6462B"/>
    <w:rsid w:val="00A64A7A"/>
    <w:rsid w:val="00A656AE"/>
    <w:rsid w:val="00A6724A"/>
    <w:rsid w:val="00A705F2"/>
    <w:rsid w:val="00A7373B"/>
    <w:rsid w:val="00A7395D"/>
    <w:rsid w:val="00A73DC9"/>
    <w:rsid w:val="00A74345"/>
    <w:rsid w:val="00A747EE"/>
    <w:rsid w:val="00A754FE"/>
    <w:rsid w:val="00A7593A"/>
    <w:rsid w:val="00A75EF8"/>
    <w:rsid w:val="00A760DB"/>
    <w:rsid w:val="00A761C5"/>
    <w:rsid w:val="00A76586"/>
    <w:rsid w:val="00A7672D"/>
    <w:rsid w:val="00A76876"/>
    <w:rsid w:val="00A76A6D"/>
    <w:rsid w:val="00A771E6"/>
    <w:rsid w:val="00A80340"/>
    <w:rsid w:val="00A80421"/>
    <w:rsid w:val="00A8068D"/>
    <w:rsid w:val="00A8096A"/>
    <w:rsid w:val="00A80B49"/>
    <w:rsid w:val="00A81B9E"/>
    <w:rsid w:val="00A81C80"/>
    <w:rsid w:val="00A81DA6"/>
    <w:rsid w:val="00A82118"/>
    <w:rsid w:val="00A8212A"/>
    <w:rsid w:val="00A82920"/>
    <w:rsid w:val="00A82B1D"/>
    <w:rsid w:val="00A82B9F"/>
    <w:rsid w:val="00A83D8F"/>
    <w:rsid w:val="00A83F6A"/>
    <w:rsid w:val="00A84AD0"/>
    <w:rsid w:val="00A85559"/>
    <w:rsid w:val="00A85E94"/>
    <w:rsid w:val="00A85FDB"/>
    <w:rsid w:val="00A861DF"/>
    <w:rsid w:val="00A86828"/>
    <w:rsid w:val="00A87295"/>
    <w:rsid w:val="00A874EF"/>
    <w:rsid w:val="00A90040"/>
    <w:rsid w:val="00A91109"/>
    <w:rsid w:val="00A9119D"/>
    <w:rsid w:val="00A91373"/>
    <w:rsid w:val="00A91F41"/>
    <w:rsid w:val="00A920EF"/>
    <w:rsid w:val="00A93C7B"/>
    <w:rsid w:val="00A93C7F"/>
    <w:rsid w:val="00A93F64"/>
    <w:rsid w:val="00A942E9"/>
    <w:rsid w:val="00A94308"/>
    <w:rsid w:val="00A968F0"/>
    <w:rsid w:val="00A96B05"/>
    <w:rsid w:val="00A96EAD"/>
    <w:rsid w:val="00A96FC3"/>
    <w:rsid w:val="00A96FF4"/>
    <w:rsid w:val="00A97013"/>
    <w:rsid w:val="00A97913"/>
    <w:rsid w:val="00AA007E"/>
    <w:rsid w:val="00AA0EEE"/>
    <w:rsid w:val="00AA35DC"/>
    <w:rsid w:val="00AA4077"/>
    <w:rsid w:val="00AA6448"/>
    <w:rsid w:val="00AA69C7"/>
    <w:rsid w:val="00AA6AA2"/>
    <w:rsid w:val="00AA779E"/>
    <w:rsid w:val="00AA77C3"/>
    <w:rsid w:val="00AA7D03"/>
    <w:rsid w:val="00AB1AF0"/>
    <w:rsid w:val="00AB1C62"/>
    <w:rsid w:val="00AB2DE9"/>
    <w:rsid w:val="00AB364A"/>
    <w:rsid w:val="00AB4691"/>
    <w:rsid w:val="00AB46F7"/>
    <w:rsid w:val="00AB4B3D"/>
    <w:rsid w:val="00AB6704"/>
    <w:rsid w:val="00AB6B9F"/>
    <w:rsid w:val="00AB77B0"/>
    <w:rsid w:val="00AB7B27"/>
    <w:rsid w:val="00AC080F"/>
    <w:rsid w:val="00AC10B6"/>
    <w:rsid w:val="00AC19AE"/>
    <w:rsid w:val="00AC3C7C"/>
    <w:rsid w:val="00AC49E4"/>
    <w:rsid w:val="00AC4C4A"/>
    <w:rsid w:val="00AC5241"/>
    <w:rsid w:val="00AC570B"/>
    <w:rsid w:val="00AC5D84"/>
    <w:rsid w:val="00AC6F00"/>
    <w:rsid w:val="00AC7616"/>
    <w:rsid w:val="00AC7622"/>
    <w:rsid w:val="00AD2EA7"/>
    <w:rsid w:val="00AD354A"/>
    <w:rsid w:val="00AD3B03"/>
    <w:rsid w:val="00AE2903"/>
    <w:rsid w:val="00AE32D4"/>
    <w:rsid w:val="00AE37D9"/>
    <w:rsid w:val="00AE3C08"/>
    <w:rsid w:val="00AE4821"/>
    <w:rsid w:val="00AE4BDC"/>
    <w:rsid w:val="00AE58DD"/>
    <w:rsid w:val="00AE5E12"/>
    <w:rsid w:val="00AE6344"/>
    <w:rsid w:val="00AE6712"/>
    <w:rsid w:val="00AE78AF"/>
    <w:rsid w:val="00AE7D03"/>
    <w:rsid w:val="00AF04EB"/>
    <w:rsid w:val="00AF227D"/>
    <w:rsid w:val="00AF24F6"/>
    <w:rsid w:val="00AF40D2"/>
    <w:rsid w:val="00AF4C77"/>
    <w:rsid w:val="00AF4FD2"/>
    <w:rsid w:val="00AF508B"/>
    <w:rsid w:val="00AF5BDC"/>
    <w:rsid w:val="00AF6E23"/>
    <w:rsid w:val="00AF70EB"/>
    <w:rsid w:val="00AF7437"/>
    <w:rsid w:val="00AF7987"/>
    <w:rsid w:val="00B00333"/>
    <w:rsid w:val="00B02539"/>
    <w:rsid w:val="00B03103"/>
    <w:rsid w:val="00B03B67"/>
    <w:rsid w:val="00B03F76"/>
    <w:rsid w:val="00B04AF6"/>
    <w:rsid w:val="00B06516"/>
    <w:rsid w:val="00B07649"/>
    <w:rsid w:val="00B077C2"/>
    <w:rsid w:val="00B11DFA"/>
    <w:rsid w:val="00B1291F"/>
    <w:rsid w:val="00B12BBE"/>
    <w:rsid w:val="00B12D03"/>
    <w:rsid w:val="00B2172A"/>
    <w:rsid w:val="00B23202"/>
    <w:rsid w:val="00B23967"/>
    <w:rsid w:val="00B23B26"/>
    <w:rsid w:val="00B24719"/>
    <w:rsid w:val="00B247F9"/>
    <w:rsid w:val="00B25339"/>
    <w:rsid w:val="00B253A7"/>
    <w:rsid w:val="00B25C8A"/>
    <w:rsid w:val="00B2677C"/>
    <w:rsid w:val="00B26893"/>
    <w:rsid w:val="00B26FD4"/>
    <w:rsid w:val="00B27481"/>
    <w:rsid w:val="00B27D1E"/>
    <w:rsid w:val="00B304D8"/>
    <w:rsid w:val="00B31290"/>
    <w:rsid w:val="00B31F9C"/>
    <w:rsid w:val="00B32495"/>
    <w:rsid w:val="00B3257E"/>
    <w:rsid w:val="00B33168"/>
    <w:rsid w:val="00B33716"/>
    <w:rsid w:val="00B341ED"/>
    <w:rsid w:val="00B3477A"/>
    <w:rsid w:val="00B34C7B"/>
    <w:rsid w:val="00B356CB"/>
    <w:rsid w:val="00B367E9"/>
    <w:rsid w:val="00B36C56"/>
    <w:rsid w:val="00B36F7D"/>
    <w:rsid w:val="00B371D3"/>
    <w:rsid w:val="00B37DBC"/>
    <w:rsid w:val="00B40248"/>
    <w:rsid w:val="00B42B56"/>
    <w:rsid w:val="00B4320E"/>
    <w:rsid w:val="00B44759"/>
    <w:rsid w:val="00B44FEF"/>
    <w:rsid w:val="00B45946"/>
    <w:rsid w:val="00B47B79"/>
    <w:rsid w:val="00B47D2B"/>
    <w:rsid w:val="00B47E22"/>
    <w:rsid w:val="00B502A0"/>
    <w:rsid w:val="00B507F5"/>
    <w:rsid w:val="00B51F4F"/>
    <w:rsid w:val="00B51F66"/>
    <w:rsid w:val="00B5253D"/>
    <w:rsid w:val="00B52C58"/>
    <w:rsid w:val="00B52D6B"/>
    <w:rsid w:val="00B531DB"/>
    <w:rsid w:val="00B5371E"/>
    <w:rsid w:val="00B53A53"/>
    <w:rsid w:val="00B54085"/>
    <w:rsid w:val="00B567D8"/>
    <w:rsid w:val="00B576B3"/>
    <w:rsid w:val="00B60155"/>
    <w:rsid w:val="00B60F0B"/>
    <w:rsid w:val="00B61988"/>
    <w:rsid w:val="00B63C95"/>
    <w:rsid w:val="00B64435"/>
    <w:rsid w:val="00B65D0A"/>
    <w:rsid w:val="00B66360"/>
    <w:rsid w:val="00B7080B"/>
    <w:rsid w:val="00B70935"/>
    <w:rsid w:val="00B71C27"/>
    <w:rsid w:val="00B7202F"/>
    <w:rsid w:val="00B72994"/>
    <w:rsid w:val="00B73249"/>
    <w:rsid w:val="00B73325"/>
    <w:rsid w:val="00B744A6"/>
    <w:rsid w:val="00B74626"/>
    <w:rsid w:val="00B74963"/>
    <w:rsid w:val="00B75115"/>
    <w:rsid w:val="00B755DF"/>
    <w:rsid w:val="00B75973"/>
    <w:rsid w:val="00B75E52"/>
    <w:rsid w:val="00B7613D"/>
    <w:rsid w:val="00B770CD"/>
    <w:rsid w:val="00B771C5"/>
    <w:rsid w:val="00B77569"/>
    <w:rsid w:val="00B7776E"/>
    <w:rsid w:val="00B77924"/>
    <w:rsid w:val="00B80CF4"/>
    <w:rsid w:val="00B822E8"/>
    <w:rsid w:val="00B822F8"/>
    <w:rsid w:val="00B830EE"/>
    <w:rsid w:val="00B831D2"/>
    <w:rsid w:val="00B83C96"/>
    <w:rsid w:val="00B83F7F"/>
    <w:rsid w:val="00B8507C"/>
    <w:rsid w:val="00B90319"/>
    <w:rsid w:val="00B9051D"/>
    <w:rsid w:val="00B908A6"/>
    <w:rsid w:val="00B90985"/>
    <w:rsid w:val="00B92484"/>
    <w:rsid w:val="00B92868"/>
    <w:rsid w:val="00B92D11"/>
    <w:rsid w:val="00B935AC"/>
    <w:rsid w:val="00B93768"/>
    <w:rsid w:val="00B93962"/>
    <w:rsid w:val="00B93B79"/>
    <w:rsid w:val="00B951DA"/>
    <w:rsid w:val="00B951DC"/>
    <w:rsid w:val="00B96189"/>
    <w:rsid w:val="00B96E87"/>
    <w:rsid w:val="00B97CA6"/>
    <w:rsid w:val="00B97F22"/>
    <w:rsid w:val="00BA10FF"/>
    <w:rsid w:val="00BA1C6F"/>
    <w:rsid w:val="00BA1E86"/>
    <w:rsid w:val="00BA1F29"/>
    <w:rsid w:val="00BA2D12"/>
    <w:rsid w:val="00BA2E4B"/>
    <w:rsid w:val="00BA3DAB"/>
    <w:rsid w:val="00BA417D"/>
    <w:rsid w:val="00BA4768"/>
    <w:rsid w:val="00BA48D4"/>
    <w:rsid w:val="00BA5B11"/>
    <w:rsid w:val="00BA5FFD"/>
    <w:rsid w:val="00BA66D1"/>
    <w:rsid w:val="00BA6E60"/>
    <w:rsid w:val="00BA732B"/>
    <w:rsid w:val="00BA76BC"/>
    <w:rsid w:val="00BA7AF7"/>
    <w:rsid w:val="00BB03AF"/>
    <w:rsid w:val="00BB0D63"/>
    <w:rsid w:val="00BB11A8"/>
    <w:rsid w:val="00BB12D9"/>
    <w:rsid w:val="00BB209E"/>
    <w:rsid w:val="00BB24BC"/>
    <w:rsid w:val="00BB26A8"/>
    <w:rsid w:val="00BB2C8D"/>
    <w:rsid w:val="00BB4D15"/>
    <w:rsid w:val="00BB4D96"/>
    <w:rsid w:val="00BB5A24"/>
    <w:rsid w:val="00BB5D6E"/>
    <w:rsid w:val="00BB65C9"/>
    <w:rsid w:val="00BB6C10"/>
    <w:rsid w:val="00BC2A3B"/>
    <w:rsid w:val="00BC3BD0"/>
    <w:rsid w:val="00BC3BD8"/>
    <w:rsid w:val="00BC4324"/>
    <w:rsid w:val="00BC7489"/>
    <w:rsid w:val="00BC7644"/>
    <w:rsid w:val="00BC79CE"/>
    <w:rsid w:val="00BD0A5A"/>
    <w:rsid w:val="00BD0A5B"/>
    <w:rsid w:val="00BD1F71"/>
    <w:rsid w:val="00BD2EA4"/>
    <w:rsid w:val="00BD3760"/>
    <w:rsid w:val="00BD3AF9"/>
    <w:rsid w:val="00BD3C53"/>
    <w:rsid w:val="00BD54EA"/>
    <w:rsid w:val="00BD59FA"/>
    <w:rsid w:val="00BD6022"/>
    <w:rsid w:val="00BD6BF2"/>
    <w:rsid w:val="00BD6DB2"/>
    <w:rsid w:val="00BD715C"/>
    <w:rsid w:val="00BE09F2"/>
    <w:rsid w:val="00BE0E80"/>
    <w:rsid w:val="00BE106F"/>
    <w:rsid w:val="00BE13D6"/>
    <w:rsid w:val="00BE169E"/>
    <w:rsid w:val="00BE174F"/>
    <w:rsid w:val="00BE3DEB"/>
    <w:rsid w:val="00BE58A6"/>
    <w:rsid w:val="00BE69A2"/>
    <w:rsid w:val="00BE6B19"/>
    <w:rsid w:val="00BF023D"/>
    <w:rsid w:val="00BF15D6"/>
    <w:rsid w:val="00BF2830"/>
    <w:rsid w:val="00BF3050"/>
    <w:rsid w:val="00BF30A1"/>
    <w:rsid w:val="00BF30AA"/>
    <w:rsid w:val="00BF32D8"/>
    <w:rsid w:val="00BF4877"/>
    <w:rsid w:val="00BF5336"/>
    <w:rsid w:val="00BF5BB9"/>
    <w:rsid w:val="00BF5C68"/>
    <w:rsid w:val="00BF5D2A"/>
    <w:rsid w:val="00BF650B"/>
    <w:rsid w:val="00BF6AC3"/>
    <w:rsid w:val="00C00986"/>
    <w:rsid w:val="00C0269B"/>
    <w:rsid w:val="00C02AF6"/>
    <w:rsid w:val="00C03E84"/>
    <w:rsid w:val="00C03FC9"/>
    <w:rsid w:val="00C04A20"/>
    <w:rsid w:val="00C055EF"/>
    <w:rsid w:val="00C07416"/>
    <w:rsid w:val="00C102E5"/>
    <w:rsid w:val="00C11573"/>
    <w:rsid w:val="00C117D5"/>
    <w:rsid w:val="00C11981"/>
    <w:rsid w:val="00C11E57"/>
    <w:rsid w:val="00C12DB5"/>
    <w:rsid w:val="00C13CD2"/>
    <w:rsid w:val="00C1408C"/>
    <w:rsid w:val="00C145D9"/>
    <w:rsid w:val="00C14AFF"/>
    <w:rsid w:val="00C14DD4"/>
    <w:rsid w:val="00C154EB"/>
    <w:rsid w:val="00C15DB1"/>
    <w:rsid w:val="00C1674C"/>
    <w:rsid w:val="00C17074"/>
    <w:rsid w:val="00C17352"/>
    <w:rsid w:val="00C1770E"/>
    <w:rsid w:val="00C17974"/>
    <w:rsid w:val="00C20346"/>
    <w:rsid w:val="00C205E1"/>
    <w:rsid w:val="00C208C0"/>
    <w:rsid w:val="00C21E00"/>
    <w:rsid w:val="00C2210C"/>
    <w:rsid w:val="00C22457"/>
    <w:rsid w:val="00C23627"/>
    <w:rsid w:val="00C23BCA"/>
    <w:rsid w:val="00C24F7A"/>
    <w:rsid w:val="00C25069"/>
    <w:rsid w:val="00C25233"/>
    <w:rsid w:val="00C25A60"/>
    <w:rsid w:val="00C26455"/>
    <w:rsid w:val="00C26F92"/>
    <w:rsid w:val="00C273F5"/>
    <w:rsid w:val="00C27C74"/>
    <w:rsid w:val="00C301F4"/>
    <w:rsid w:val="00C30C1C"/>
    <w:rsid w:val="00C31A43"/>
    <w:rsid w:val="00C3200F"/>
    <w:rsid w:val="00C3262F"/>
    <w:rsid w:val="00C333F7"/>
    <w:rsid w:val="00C33C67"/>
    <w:rsid w:val="00C35A92"/>
    <w:rsid w:val="00C37428"/>
    <w:rsid w:val="00C3777F"/>
    <w:rsid w:val="00C405F5"/>
    <w:rsid w:val="00C40AB5"/>
    <w:rsid w:val="00C4150C"/>
    <w:rsid w:val="00C418BB"/>
    <w:rsid w:val="00C42A98"/>
    <w:rsid w:val="00C42F47"/>
    <w:rsid w:val="00C44188"/>
    <w:rsid w:val="00C442EE"/>
    <w:rsid w:val="00C44800"/>
    <w:rsid w:val="00C44ED0"/>
    <w:rsid w:val="00C4577A"/>
    <w:rsid w:val="00C46480"/>
    <w:rsid w:val="00C47674"/>
    <w:rsid w:val="00C47CD0"/>
    <w:rsid w:val="00C500D8"/>
    <w:rsid w:val="00C507C5"/>
    <w:rsid w:val="00C5130E"/>
    <w:rsid w:val="00C51365"/>
    <w:rsid w:val="00C518B0"/>
    <w:rsid w:val="00C51A02"/>
    <w:rsid w:val="00C51F05"/>
    <w:rsid w:val="00C52314"/>
    <w:rsid w:val="00C57425"/>
    <w:rsid w:val="00C57B59"/>
    <w:rsid w:val="00C60610"/>
    <w:rsid w:val="00C607FD"/>
    <w:rsid w:val="00C60AFD"/>
    <w:rsid w:val="00C60CD4"/>
    <w:rsid w:val="00C610CA"/>
    <w:rsid w:val="00C61756"/>
    <w:rsid w:val="00C61E5A"/>
    <w:rsid w:val="00C63721"/>
    <w:rsid w:val="00C645BB"/>
    <w:rsid w:val="00C64921"/>
    <w:rsid w:val="00C64FAF"/>
    <w:rsid w:val="00C653DE"/>
    <w:rsid w:val="00C65512"/>
    <w:rsid w:val="00C65852"/>
    <w:rsid w:val="00C6608C"/>
    <w:rsid w:val="00C66A48"/>
    <w:rsid w:val="00C66FB5"/>
    <w:rsid w:val="00C67510"/>
    <w:rsid w:val="00C67FE4"/>
    <w:rsid w:val="00C70809"/>
    <w:rsid w:val="00C70ADB"/>
    <w:rsid w:val="00C71941"/>
    <w:rsid w:val="00C7198A"/>
    <w:rsid w:val="00C71EB2"/>
    <w:rsid w:val="00C724A6"/>
    <w:rsid w:val="00C72802"/>
    <w:rsid w:val="00C7284D"/>
    <w:rsid w:val="00C73634"/>
    <w:rsid w:val="00C73CBE"/>
    <w:rsid w:val="00C74324"/>
    <w:rsid w:val="00C747CF"/>
    <w:rsid w:val="00C74C67"/>
    <w:rsid w:val="00C754BB"/>
    <w:rsid w:val="00C75DB9"/>
    <w:rsid w:val="00C76087"/>
    <w:rsid w:val="00C761FE"/>
    <w:rsid w:val="00C77490"/>
    <w:rsid w:val="00C777B4"/>
    <w:rsid w:val="00C80304"/>
    <w:rsid w:val="00C803C7"/>
    <w:rsid w:val="00C80DD7"/>
    <w:rsid w:val="00C80E84"/>
    <w:rsid w:val="00C81030"/>
    <w:rsid w:val="00C81707"/>
    <w:rsid w:val="00C81C37"/>
    <w:rsid w:val="00C8225A"/>
    <w:rsid w:val="00C834E2"/>
    <w:rsid w:val="00C83CAB"/>
    <w:rsid w:val="00C84E10"/>
    <w:rsid w:val="00C84FD0"/>
    <w:rsid w:val="00C85063"/>
    <w:rsid w:val="00C853ED"/>
    <w:rsid w:val="00C85E56"/>
    <w:rsid w:val="00C91147"/>
    <w:rsid w:val="00C92156"/>
    <w:rsid w:val="00C92330"/>
    <w:rsid w:val="00C9270C"/>
    <w:rsid w:val="00C935B6"/>
    <w:rsid w:val="00C93EC1"/>
    <w:rsid w:val="00C949F1"/>
    <w:rsid w:val="00C95276"/>
    <w:rsid w:val="00C961AE"/>
    <w:rsid w:val="00C96342"/>
    <w:rsid w:val="00CA0223"/>
    <w:rsid w:val="00CA0D85"/>
    <w:rsid w:val="00CA0DD5"/>
    <w:rsid w:val="00CA13D7"/>
    <w:rsid w:val="00CA166A"/>
    <w:rsid w:val="00CA1FDD"/>
    <w:rsid w:val="00CA2C47"/>
    <w:rsid w:val="00CA340B"/>
    <w:rsid w:val="00CA3C40"/>
    <w:rsid w:val="00CA3CE0"/>
    <w:rsid w:val="00CA3CE1"/>
    <w:rsid w:val="00CA419C"/>
    <w:rsid w:val="00CA4242"/>
    <w:rsid w:val="00CA4513"/>
    <w:rsid w:val="00CA45FB"/>
    <w:rsid w:val="00CA4784"/>
    <w:rsid w:val="00CA4E21"/>
    <w:rsid w:val="00CA59F7"/>
    <w:rsid w:val="00CA5CE7"/>
    <w:rsid w:val="00CA6397"/>
    <w:rsid w:val="00CA7203"/>
    <w:rsid w:val="00CA7A09"/>
    <w:rsid w:val="00CB017C"/>
    <w:rsid w:val="00CB15E2"/>
    <w:rsid w:val="00CB25D4"/>
    <w:rsid w:val="00CB3185"/>
    <w:rsid w:val="00CB33BC"/>
    <w:rsid w:val="00CB39AC"/>
    <w:rsid w:val="00CB4808"/>
    <w:rsid w:val="00CB50CA"/>
    <w:rsid w:val="00CB61C4"/>
    <w:rsid w:val="00CB647A"/>
    <w:rsid w:val="00CB6A13"/>
    <w:rsid w:val="00CC0123"/>
    <w:rsid w:val="00CC052C"/>
    <w:rsid w:val="00CC120E"/>
    <w:rsid w:val="00CC1561"/>
    <w:rsid w:val="00CC266F"/>
    <w:rsid w:val="00CC3175"/>
    <w:rsid w:val="00CC3390"/>
    <w:rsid w:val="00CC4056"/>
    <w:rsid w:val="00CC597B"/>
    <w:rsid w:val="00CC6223"/>
    <w:rsid w:val="00CC6DCC"/>
    <w:rsid w:val="00CD0E69"/>
    <w:rsid w:val="00CD1649"/>
    <w:rsid w:val="00CD1825"/>
    <w:rsid w:val="00CD1D3A"/>
    <w:rsid w:val="00CD35FA"/>
    <w:rsid w:val="00CD37D3"/>
    <w:rsid w:val="00CD3A24"/>
    <w:rsid w:val="00CD4AB4"/>
    <w:rsid w:val="00CD4C6E"/>
    <w:rsid w:val="00CD5F68"/>
    <w:rsid w:val="00CD7171"/>
    <w:rsid w:val="00CE044B"/>
    <w:rsid w:val="00CE0A3F"/>
    <w:rsid w:val="00CE0C96"/>
    <w:rsid w:val="00CE1CFD"/>
    <w:rsid w:val="00CE301C"/>
    <w:rsid w:val="00CE35A7"/>
    <w:rsid w:val="00CE386D"/>
    <w:rsid w:val="00CE3982"/>
    <w:rsid w:val="00CE3A2C"/>
    <w:rsid w:val="00CE3A99"/>
    <w:rsid w:val="00CE525E"/>
    <w:rsid w:val="00CE57C8"/>
    <w:rsid w:val="00CE646E"/>
    <w:rsid w:val="00CE6A9B"/>
    <w:rsid w:val="00CE751F"/>
    <w:rsid w:val="00CE77B2"/>
    <w:rsid w:val="00CE7AEF"/>
    <w:rsid w:val="00CF08D1"/>
    <w:rsid w:val="00CF2C76"/>
    <w:rsid w:val="00CF345F"/>
    <w:rsid w:val="00CF34BB"/>
    <w:rsid w:val="00CF4C9E"/>
    <w:rsid w:val="00CF6964"/>
    <w:rsid w:val="00CF6A31"/>
    <w:rsid w:val="00CF6CDD"/>
    <w:rsid w:val="00CF7346"/>
    <w:rsid w:val="00CF7CAE"/>
    <w:rsid w:val="00CF7D24"/>
    <w:rsid w:val="00D00EE6"/>
    <w:rsid w:val="00D0264D"/>
    <w:rsid w:val="00D030D4"/>
    <w:rsid w:val="00D030D6"/>
    <w:rsid w:val="00D03264"/>
    <w:rsid w:val="00D03618"/>
    <w:rsid w:val="00D0402E"/>
    <w:rsid w:val="00D044C5"/>
    <w:rsid w:val="00D04BE5"/>
    <w:rsid w:val="00D05115"/>
    <w:rsid w:val="00D05503"/>
    <w:rsid w:val="00D06277"/>
    <w:rsid w:val="00D07695"/>
    <w:rsid w:val="00D07B8A"/>
    <w:rsid w:val="00D108CB"/>
    <w:rsid w:val="00D10B97"/>
    <w:rsid w:val="00D10CC3"/>
    <w:rsid w:val="00D1249E"/>
    <w:rsid w:val="00D1257F"/>
    <w:rsid w:val="00D1261B"/>
    <w:rsid w:val="00D1294A"/>
    <w:rsid w:val="00D13932"/>
    <w:rsid w:val="00D1441D"/>
    <w:rsid w:val="00D16459"/>
    <w:rsid w:val="00D16D12"/>
    <w:rsid w:val="00D16F6C"/>
    <w:rsid w:val="00D201BB"/>
    <w:rsid w:val="00D21071"/>
    <w:rsid w:val="00D213F7"/>
    <w:rsid w:val="00D21E6B"/>
    <w:rsid w:val="00D2228F"/>
    <w:rsid w:val="00D237BF"/>
    <w:rsid w:val="00D24C59"/>
    <w:rsid w:val="00D250AE"/>
    <w:rsid w:val="00D2529E"/>
    <w:rsid w:val="00D25830"/>
    <w:rsid w:val="00D2718A"/>
    <w:rsid w:val="00D27906"/>
    <w:rsid w:val="00D30EE7"/>
    <w:rsid w:val="00D31C36"/>
    <w:rsid w:val="00D333F9"/>
    <w:rsid w:val="00D340A3"/>
    <w:rsid w:val="00D342EA"/>
    <w:rsid w:val="00D349C0"/>
    <w:rsid w:val="00D35478"/>
    <w:rsid w:val="00D35826"/>
    <w:rsid w:val="00D35D64"/>
    <w:rsid w:val="00D35D73"/>
    <w:rsid w:val="00D35DDE"/>
    <w:rsid w:val="00D36403"/>
    <w:rsid w:val="00D36439"/>
    <w:rsid w:val="00D36603"/>
    <w:rsid w:val="00D36C73"/>
    <w:rsid w:val="00D36CD4"/>
    <w:rsid w:val="00D36FCB"/>
    <w:rsid w:val="00D370C9"/>
    <w:rsid w:val="00D405CD"/>
    <w:rsid w:val="00D40AEF"/>
    <w:rsid w:val="00D41CA6"/>
    <w:rsid w:val="00D41D89"/>
    <w:rsid w:val="00D422FA"/>
    <w:rsid w:val="00D426C8"/>
    <w:rsid w:val="00D42D03"/>
    <w:rsid w:val="00D432E5"/>
    <w:rsid w:val="00D43F17"/>
    <w:rsid w:val="00D442F3"/>
    <w:rsid w:val="00D447A3"/>
    <w:rsid w:val="00D44F91"/>
    <w:rsid w:val="00D47488"/>
    <w:rsid w:val="00D47DCB"/>
    <w:rsid w:val="00D47EF1"/>
    <w:rsid w:val="00D5096E"/>
    <w:rsid w:val="00D51162"/>
    <w:rsid w:val="00D539D8"/>
    <w:rsid w:val="00D54153"/>
    <w:rsid w:val="00D550DD"/>
    <w:rsid w:val="00D55498"/>
    <w:rsid w:val="00D560AD"/>
    <w:rsid w:val="00D56B28"/>
    <w:rsid w:val="00D56E83"/>
    <w:rsid w:val="00D57516"/>
    <w:rsid w:val="00D60D6B"/>
    <w:rsid w:val="00D60EAB"/>
    <w:rsid w:val="00D61DE5"/>
    <w:rsid w:val="00D630C5"/>
    <w:rsid w:val="00D63D2D"/>
    <w:rsid w:val="00D6422B"/>
    <w:rsid w:val="00D64265"/>
    <w:rsid w:val="00D642F8"/>
    <w:rsid w:val="00D64304"/>
    <w:rsid w:val="00D6433D"/>
    <w:rsid w:val="00D64C45"/>
    <w:rsid w:val="00D64E6D"/>
    <w:rsid w:val="00D6600B"/>
    <w:rsid w:val="00D662B1"/>
    <w:rsid w:val="00D66707"/>
    <w:rsid w:val="00D667BB"/>
    <w:rsid w:val="00D7081E"/>
    <w:rsid w:val="00D70E33"/>
    <w:rsid w:val="00D70F3A"/>
    <w:rsid w:val="00D71671"/>
    <w:rsid w:val="00D73704"/>
    <w:rsid w:val="00D73D3C"/>
    <w:rsid w:val="00D759F7"/>
    <w:rsid w:val="00D76847"/>
    <w:rsid w:val="00D76DE6"/>
    <w:rsid w:val="00D76FB7"/>
    <w:rsid w:val="00D772A3"/>
    <w:rsid w:val="00D777C4"/>
    <w:rsid w:val="00D77AD8"/>
    <w:rsid w:val="00D8063D"/>
    <w:rsid w:val="00D807BE"/>
    <w:rsid w:val="00D80DFC"/>
    <w:rsid w:val="00D819A2"/>
    <w:rsid w:val="00D82440"/>
    <w:rsid w:val="00D82F6C"/>
    <w:rsid w:val="00D82FCD"/>
    <w:rsid w:val="00D83BCB"/>
    <w:rsid w:val="00D8667B"/>
    <w:rsid w:val="00D86A8A"/>
    <w:rsid w:val="00D86CD4"/>
    <w:rsid w:val="00D9070B"/>
    <w:rsid w:val="00D9096C"/>
    <w:rsid w:val="00D92C84"/>
    <w:rsid w:val="00D94A41"/>
    <w:rsid w:val="00D956A3"/>
    <w:rsid w:val="00D96550"/>
    <w:rsid w:val="00D97142"/>
    <w:rsid w:val="00D97D57"/>
    <w:rsid w:val="00DA0160"/>
    <w:rsid w:val="00DA139B"/>
    <w:rsid w:val="00DA2145"/>
    <w:rsid w:val="00DA2DD7"/>
    <w:rsid w:val="00DA307B"/>
    <w:rsid w:val="00DA4672"/>
    <w:rsid w:val="00DA474E"/>
    <w:rsid w:val="00DA560C"/>
    <w:rsid w:val="00DA5DA0"/>
    <w:rsid w:val="00DA666F"/>
    <w:rsid w:val="00DA7585"/>
    <w:rsid w:val="00DA7D9B"/>
    <w:rsid w:val="00DB0224"/>
    <w:rsid w:val="00DB0B23"/>
    <w:rsid w:val="00DB0F7B"/>
    <w:rsid w:val="00DB17C5"/>
    <w:rsid w:val="00DB1C64"/>
    <w:rsid w:val="00DB1DDB"/>
    <w:rsid w:val="00DB24F2"/>
    <w:rsid w:val="00DB587F"/>
    <w:rsid w:val="00DB5D90"/>
    <w:rsid w:val="00DB623F"/>
    <w:rsid w:val="00DB680E"/>
    <w:rsid w:val="00DB68CC"/>
    <w:rsid w:val="00DB6CC2"/>
    <w:rsid w:val="00DB6F70"/>
    <w:rsid w:val="00DB6FE7"/>
    <w:rsid w:val="00DB7666"/>
    <w:rsid w:val="00DB7880"/>
    <w:rsid w:val="00DC03D0"/>
    <w:rsid w:val="00DC073B"/>
    <w:rsid w:val="00DC0E10"/>
    <w:rsid w:val="00DC1119"/>
    <w:rsid w:val="00DC2049"/>
    <w:rsid w:val="00DC221D"/>
    <w:rsid w:val="00DC232D"/>
    <w:rsid w:val="00DC28CF"/>
    <w:rsid w:val="00DC2BE7"/>
    <w:rsid w:val="00DC2C55"/>
    <w:rsid w:val="00DC346E"/>
    <w:rsid w:val="00DC397F"/>
    <w:rsid w:val="00DC3A11"/>
    <w:rsid w:val="00DC4AEA"/>
    <w:rsid w:val="00DC549B"/>
    <w:rsid w:val="00DC71E9"/>
    <w:rsid w:val="00DC72F0"/>
    <w:rsid w:val="00DC75BC"/>
    <w:rsid w:val="00DD2E53"/>
    <w:rsid w:val="00DD3BCE"/>
    <w:rsid w:val="00DD3D63"/>
    <w:rsid w:val="00DD41E0"/>
    <w:rsid w:val="00DD49AD"/>
    <w:rsid w:val="00DD53EE"/>
    <w:rsid w:val="00DD7EC7"/>
    <w:rsid w:val="00DE04A2"/>
    <w:rsid w:val="00DE04AA"/>
    <w:rsid w:val="00DE15EB"/>
    <w:rsid w:val="00DE28B3"/>
    <w:rsid w:val="00DE2E23"/>
    <w:rsid w:val="00DE324C"/>
    <w:rsid w:val="00DE3266"/>
    <w:rsid w:val="00DE3724"/>
    <w:rsid w:val="00DE460D"/>
    <w:rsid w:val="00DE49E7"/>
    <w:rsid w:val="00DE6E0E"/>
    <w:rsid w:val="00DE736B"/>
    <w:rsid w:val="00DF014B"/>
    <w:rsid w:val="00DF04CB"/>
    <w:rsid w:val="00DF061D"/>
    <w:rsid w:val="00DF1132"/>
    <w:rsid w:val="00DF13E0"/>
    <w:rsid w:val="00DF1870"/>
    <w:rsid w:val="00DF1E26"/>
    <w:rsid w:val="00DF266B"/>
    <w:rsid w:val="00DF2934"/>
    <w:rsid w:val="00DF2DD0"/>
    <w:rsid w:val="00DF341A"/>
    <w:rsid w:val="00DF3733"/>
    <w:rsid w:val="00DF3B34"/>
    <w:rsid w:val="00DF425A"/>
    <w:rsid w:val="00DF45F7"/>
    <w:rsid w:val="00DF49AF"/>
    <w:rsid w:val="00DF4CC6"/>
    <w:rsid w:val="00DF53EA"/>
    <w:rsid w:val="00DF5A33"/>
    <w:rsid w:val="00DF5C64"/>
    <w:rsid w:val="00DF5E00"/>
    <w:rsid w:val="00DF72B8"/>
    <w:rsid w:val="00DF7B63"/>
    <w:rsid w:val="00DF7D68"/>
    <w:rsid w:val="00E018BD"/>
    <w:rsid w:val="00E01BB0"/>
    <w:rsid w:val="00E01BB1"/>
    <w:rsid w:val="00E01E03"/>
    <w:rsid w:val="00E030CE"/>
    <w:rsid w:val="00E034CB"/>
    <w:rsid w:val="00E0391D"/>
    <w:rsid w:val="00E041E5"/>
    <w:rsid w:val="00E0553C"/>
    <w:rsid w:val="00E06A13"/>
    <w:rsid w:val="00E10D9B"/>
    <w:rsid w:val="00E110E4"/>
    <w:rsid w:val="00E111AC"/>
    <w:rsid w:val="00E11876"/>
    <w:rsid w:val="00E11F29"/>
    <w:rsid w:val="00E122B8"/>
    <w:rsid w:val="00E12547"/>
    <w:rsid w:val="00E12904"/>
    <w:rsid w:val="00E15BF5"/>
    <w:rsid w:val="00E167AA"/>
    <w:rsid w:val="00E177AB"/>
    <w:rsid w:val="00E17E9B"/>
    <w:rsid w:val="00E17F53"/>
    <w:rsid w:val="00E20C52"/>
    <w:rsid w:val="00E2132F"/>
    <w:rsid w:val="00E214FE"/>
    <w:rsid w:val="00E21CF0"/>
    <w:rsid w:val="00E21D99"/>
    <w:rsid w:val="00E220DF"/>
    <w:rsid w:val="00E226E2"/>
    <w:rsid w:val="00E22905"/>
    <w:rsid w:val="00E23325"/>
    <w:rsid w:val="00E239AE"/>
    <w:rsid w:val="00E24091"/>
    <w:rsid w:val="00E24C83"/>
    <w:rsid w:val="00E2516D"/>
    <w:rsid w:val="00E263C3"/>
    <w:rsid w:val="00E272E8"/>
    <w:rsid w:val="00E3025B"/>
    <w:rsid w:val="00E30ED8"/>
    <w:rsid w:val="00E31AA8"/>
    <w:rsid w:val="00E31B4C"/>
    <w:rsid w:val="00E32AF9"/>
    <w:rsid w:val="00E33986"/>
    <w:rsid w:val="00E34E78"/>
    <w:rsid w:val="00E3517B"/>
    <w:rsid w:val="00E3630D"/>
    <w:rsid w:val="00E3639C"/>
    <w:rsid w:val="00E36719"/>
    <w:rsid w:val="00E370E4"/>
    <w:rsid w:val="00E37697"/>
    <w:rsid w:val="00E401C4"/>
    <w:rsid w:val="00E4055E"/>
    <w:rsid w:val="00E4086C"/>
    <w:rsid w:val="00E40CB0"/>
    <w:rsid w:val="00E41EDF"/>
    <w:rsid w:val="00E4251E"/>
    <w:rsid w:val="00E4271E"/>
    <w:rsid w:val="00E44688"/>
    <w:rsid w:val="00E45CB0"/>
    <w:rsid w:val="00E47688"/>
    <w:rsid w:val="00E5014D"/>
    <w:rsid w:val="00E5048F"/>
    <w:rsid w:val="00E50606"/>
    <w:rsid w:val="00E50997"/>
    <w:rsid w:val="00E50BEB"/>
    <w:rsid w:val="00E50D34"/>
    <w:rsid w:val="00E50EA0"/>
    <w:rsid w:val="00E515CE"/>
    <w:rsid w:val="00E51BC1"/>
    <w:rsid w:val="00E52A5B"/>
    <w:rsid w:val="00E52B2D"/>
    <w:rsid w:val="00E53C65"/>
    <w:rsid w:val="00E54062"/>
    <w:rsid w:val="00E54498"/>
    <w:rsid w:val="00E554E8"/>
    <w:rsid w:val="00E55B29"/>
    <w:rsid w:val="00E56AE9"/>
    <w:rsid w:val="00E56B19"/>
    <w:rsid w:val="00E57F25"/>
    <w:rsid w:val="00E616F5"/>
    <w:rsid w:val="00E62070"/>
    <w:rsid w:val="00E64020"/>
    <w:rsid w:val="00E64068"/>
    <w:rsid w:val="00E650D5"/>
    <w:rsid w:val="00E65A38"/>
    <w:rsid w:val="00E65F5E"/>
    <w:rsid w:val="00E666FE"/>
    <w:rsid w:val="00E67257"/>
    <w:rsid w:val="00E67CFF"/>
    <w:rsid w:val="00E70A2E"/>
    <w:rsid w:val="00E721E3"/>
    <w:rsid w:val="00E73BF8"/>
    <w:rsid w:val="00E7492C"/>
    <w:rsid w:val="00E74B9D"/>
    <w:rsid w:val="00E7517B"/>
    <w:rsid w:val="00E75363"/>
    <w:rsid w:val="00E75B1A"/>
    <w:rsid w:val="00E75FB3"/>
    <w:rsid w:val="00E76DDF"/>
    <w:rsid w:val="00E7714A"/>
    <w:rsid w:val="00E8052B"/>
    <w:rsid w:val="00E8053F"/>
    <w:rsid w:val="00E8066F"/>
    <w:rsid w:val="00E806E4"/>
    <w:rsid w:val="00E81378"/>
    <w:rsid w:val="00E82455"/>
    <w:rsid w:val="00E82D94"/>
    <w:rsid w:val="00E82F0E"/>
    <w:rsid w:val="00E83C77"/>
    <w:rsid w:val="00E8425F"/>
    <w:rsid w:val="00E849F4"/>
    <w:rsid w:val="00E84A40"/>
    <w:rsid w:val="00E85171"/>
    <w:rsid w:val="00E853D8"/>
    <w:rsid w:val="00E869BD"/>
    <w:rsid w:val="00E86A73"/>
    <w:rsid w:val="00E86F1F"/>
    <w:rsid w:val="00E86F99"/>
    <w:rsid w:val="00E8708D"/>
    <w:rsid w:val="00E87AC1"/>
    <w:rsid w:val="00E900D4"/>
    <w:rsid w:val="00E90EF4"/>
    <w:rsid w:val="00E91C4D"/>
    <w:rsid w:val="00E91E22"/>
    <w:rsid w:val="00E924C6"/>
    <w:rsid w:val="00E929B2"/>
    <w:rsid w:val="00E92E1E"/>
    <w:rsid w:val="00E93386"/>
    <w:rsid w:val="00E941AF"/>
    <w:rsid w:val="00E9420B"/>
    <w:rsid w:val="00E94A85"/>
    <w:rsid w:val="00E94AA0"/>
    <w:rsid w:val="00E94AAA"/>
    <w:rsid w:val="00E958E4"/>
    <w:rsid w:val="00E95A50"/>
    <w:rsid w:val="00E97A72"/>
    <w:rsid w:val="00EA0908"/>
    <w:rsid w:val="00EA0ED2"/>
    <w:rsid w:val="00EA0FB3"/>
    <w:rsid w:val="00EA122D"/>
    <w:rsid w:val="00EA1FA5"/>
    <w:rsid w:val="00EA461C"/>
    <w:rsid w:val="00EA71A6"/>
    <w:rsid w:val="00EA7595"/>
    <w:rsid w:val="00EA7710"/>
    <w:rsid w:val="00EB0DBF"/>
    <w:rsid w:val="00EB14F1"/>
    <w:rsid w:val="00EB1D85"/>
    <w:rsid w:val="00EB2AB2"/>
    <w:rsid w:val="00EB2BDF"/>
    <w:rsid w:val="00EB2E9D"/>
    <w:rsid w:val="00EB33DA"/>
    <w:rsid w:val="00EB34DA"/>
    <w:rsid w:val="00EB3769"/>
    <w:rsid w:val="00EB3930"/>
    <w:rsid w:val="00EB456F"/>
    <w:rsid w:val="00EB50AC"/>
    <w:rsid w:val="00EB5274"/>
    <w:rsid w:val="00EB5729"/>
    <w:rsid w:val="00EB662F"/>
    <w:rsid w:val="00EB6D6C"/>
    <w:rsid w:val="00EB707B"/>
    <w:rsid w:val="00EB70D0"/>
    <w:rsid w:val="00EB752A"/>
    <w:rsid w:val="00EB782E"/>
    <w:rsid w:val="00EB7C4A"/>
    <w:rsid w:val="00EC01E2"/>
    <w:rsid w:val="00EC1B12"/>
    <w:rsid w:val="00EC1DE6"/>
    <w:rsid w:val="00EC206B"/>
    <w:rsid w:val="00EC2BB9"/>
    <w:rsid w:val="00EC3748"/>
    <w:rsid w:val="00EC3B19"/>
    <w:rsid w:val="00EC49E3"/>
    <w:rsid w:val="00EC4B0E"/>
    <w:rsid w:val="00EC506F"/>
    <w:rsid w:val="00EC556E"/>
    <w:rsid w:val="00EC5E10"/>
    <w:rsid w:val="00EC70DE"/>
    <w:rsid w:val="00ED1584"/>
    <w:rsid w:val="00ED20C2"/>
    <w:rsid w:val="00ED31C6"/>
    <w:rsid w:val="00ED32DE"/>
    <w:rsid w:val="00ED374A"/>
    <w:rsid w:val="00ED3A2B"/>
    <w:rsid w:val="00ED3ECC"/>
    <w:rsid w:val="00ED43C7"/>
    <w:rsid w:val="00ED4B25"/>
    <w:rsid w:val="00ED5FE7"/>
    <w:rsid w:val="00ED719F"/>
    <w:rsid w:val="00ED7845"/>
    <w:rsid w:val="00EE007E"/>
    <w:rsid w:val="00EE028C"/>
    <w:rsid w:val="00EE02B8"/>
    <w:rsid w:val="00EE0DB3"/>
    <w:rsid w:val="00EE0DF3"/>
    <w:rsid w:val="00EE1E7A"/>
    <w:rsid w:val="00EE2312"/>
    <w:rsid w:val="00EE2644"/>
    <w:rsid w:val="00EE2C6D"/>
    <w:rsid w:val="00EE32C7"/>
    <w:rsid w:val="00EE36BB"/>
    <w:rsid w:val="00EE4481"/>
    <w:rsid w:val="00EE4920"/>
    <w:rsid w:val="00EE4C69"/>
    <w:rsid w:val="00EE534C"/>
    <w:rsid w:val="00EE57DE"/>
    <w:rsid w:val="00EE6B27"/>
    <w:rsid w:val="00EE6DA0"/>
    <w:rsid w:val="00EE71CC"/>
    <w:rsid w:val="00EE7455"/>
    <w:rsid w:val="00EF039D"/>
    <w:rsid w:val="00EF0672"/>
    <w:rsid w:val="00EF08DC"/>
    <w:rsid w:val="00EF0953"/>
    <w:rsid w:val="00EF108E"/>
    <w:rsid w:val="00EF19E8"/>
    <w:rsid w:val="00EF1DCC"/>
    <w:rsid w:val="00EF1FCD"/>
    <w:rsid w:val="00EF32AC"/>
    <w:rsid w:val="00EF3A32"/>
    <w:rsid w:val="00EF3EAD"/>
    <w:rsid w:val="00EF417C"/>
    <w:rsid w:val="00EF45A3"/>
    <w:rsid w:val="00EF4635"/>
    <w:rsid w:val="00EF47CA"/>
    <w:rsid w:val="00EF4937"/>
    <w:rsid w:val="00EF634C"/>
    <w:rsid w:val="00EF684F"/>
    <w:rsid w:val="00EF6977"/>
    <w:rsid w:val="00EF72A9"/>
    <w:rsid w:val="00EF74FB"/>
    <w:rsid w:val="00EF7591"/>
    <w:rsid w:val="00EF7680"/>
    <w:rsid w:val="00EF7C46"/>
    <w:rsid w:val="00F012A1"/>
    <w:rsid w:val="00F01977"/>
    <w:rsid w:val="00F02679"/>
    <w:rsid w:val="00F0288E"/>
    <w:rsid w:val="00F02BCB"/>
    <w:rsid w:val="00F04AB8"/>
    <w:rsid w:val="00F0570B"/>
    <w:rsid w:val="00F057F8"/>
    <w:rsid w:val="00F0699D"/>
    <w:rsid w:val="00F07E05"/>
    <w:rsid w:val="00F10749"/>
    <w:rsid w:val="00F10C23"/>
    <w:rsid w:val="00F112B1"/>
    <w:rsid w:val="00F119CC"/>
    <w:rsid w:val="00F1286A"/>
    <w:rsid w:val="00F12D4E"/>
    <w:rsid w:val="00F13815"/>
    <w:rsid w:val="00F13BBC"/>
    <w:rsid w:val="00F14697"/>
    <w:rsid w:val="00F14F14"/>
    <w:rsid w:val="00F14F38"/>
    <w:rsid w:val="00F15353"/>
    <w:rsid w:val="00F15513"/>
    <w:rsid w:val="00F16B68"/>
    <w:rsid w:val="00F16F7D"/>
    <w:rsid w:val="00F171F7"/>
    <w:rsid w:val="00F17924"/>
    <w:rsid w:val="00F17AAC"/>
    <w:rsid w:val="00F17ED0"/>
    <w:rsid w:val="00F17FA5"/>
    <w:rsid w:val="00F2154A"/>
    <w:rsid w:val="00F224A0"/>
    <w:rsid w:val="00F2289D"/>
    <w:rsid w:val="00F2433E"/>
    <w:rsid w:val="00F249A8"/>
    <w:rsid w:val="00F27373"/>
    <w:rsid w:val="00F27BDF"/>
    <w:rsid w:val="00F30BAB"/>
    <w:rsid w:val="00F31A64"/>
    <w:rsid w:val="00F31B75"/>
    <w:rsid w:val="00F32C90"/>
    <w:rsid w:val="00F32CD4"/>
    <w:rsid w:val="00F32E4E"/>
    <w:rsid w:val="00F33760"/>
    <w:rsid w:val="00F34255"/>
    <w:rsid w:val="00F34608"/>
    <w:rsid w:val="00F3592D"/>
    <w:rsid w:val="00F35F58"/>
    <w:rsid w:val="00F36531"/>
    <w:rsid w:val="00F36B06"/>
    <w:rsid w:val="00F36F62"/>
    <w:rsid w:val="00F37223"/>
    <w:rsid w:val="00F37A4C"/>
    <w:rsid w:val="00F40175"/>
    <w:rsid w:val="00F40300"/>
    <w:rsid w:val="00F42AC8"/>
    <w:rsid w:val="00F441E8"/>
    <w:rsid w:val="00F44C0E"/>
    <w:rsid w:val="00F45A78"/>
    <w:rsid w:val="00F46457"/>
    <w:rsid w:val="00F46C87"/>
    <w:rsid w:val="00F47B75"/>
    <w:rsid w:val="00F47BE8"/>
    <w:rsid w:val="00F51315"/>
    <w:rsid w:val="00F5162E"/>
    <w:rsid w:val="00F52BE3"/>
    <w:rsid w:val="00F53EDD"/>
    <w:rsid w:val="00F53F19"/>
    <w:rsid w:val="00F5424D"/>
    <w:rsid w:val="00F544EA"/>
    <w:rsid w:val="00F554B6"/>
    <w:rsid w:val="00F5654B"/>
    <w:rsid w:val="00F565D9"/>
    <w:rsid w:val="00F56D29"/>
    <w:rsid w:val="00F56FCB"/>
    <w:rsid w:val="00F571D1"/>
    <w:rsid w:val="00F571EE"/>
    <w:rsid w:val="00F6012A"/>
    <w:rsid w:val="00F6066F"/>
    <w:rsid w:val="00F60940"/>
    <w:rsid w:val="00F60CB5"/>
    <w:rsid w:val="00F61015"/>
    <w:rsid w:val="00F61F0A"/>
    <w:rsid w:val="00F62073"/>
    <w:rsid w:val="00F6238A"/>
    <w:rsid w:val="00F63C77"/>
    <w:rsid w:val="00F63D23"/>
    <w:rsid w:val="00F64507"/>
    <w:rsid w:val="00F64757"/>
    <w:rsid w:val="00F65BAD"/>
    <w:rsid w:val="00F66443"/>
    <w:rsid w:val="00F66939"/>
    <w:rsid w:val="00F670B4"/>
    <w:rsid w:val="00F672DD"/>
    <w:rsid w:val="00F677FD"/>
    <w:rsid w:val="00F67856"/>
    <w:rsid w:val="00F700EB"/>
    <w:rsid w:val="00F701D7"/>
    <w:rsid w:val="00F70374"/>
    <w:rsid w:val="00F70DBC"/>
    <w:rsid w:val="00F7101C"/>
    <w:rsid w:val="00F72E23"/>
    <w:rsid w:val="00F73671"/>
    <w:rsid w:val="00F74108"/>
    <w:rsid w:val="00F74174"/>
    <w:rsid w:val="00F74334"/>
    <w:rsid w:val="00F746B5"/>
    <w:rsid w:val="00F747EB"/>
    <w:rsid w:val="00F754FE"/>
    <w:rsid w:val="00F7575A"/>
    <w:rsid w:val="00F75E83"/>
    <w:rsid w:val="00F76261"/>
    <w:rsid w:val="00F76D64"/>
    <w:rsid w:val="00F7701C"/>
    <w:rsid w:val="00F77165"/>
    <w:rsid w:val="00F778FF"/>
    <w:rsid w:val="00F77C1C"/>
    <w:rsid w:val="00F77D75"/>
    <w:rsid w:val="00F77E4E"/>
    <w:rsid w:val="00F8018A"/>
    <w:rsid w:val="00F80374"/>
    <w:rsid w:val="00F807E6"/>
    <w:rsid w:val="00F80FA7"/>
    <w:rsid w:val="00F81194"/>
    <w:rsid w:val="00F81267"/>
    <w:rsid w:val="00F81EA7"/>
    <w:rsid w:val="00F82681"/>
    <w:rsid w:val="00F82B2A"/>
    <w:rsid w:val="00F8320E"/>
    <w:rsid w:val="00F837BD"/>
    <w:rsid w:val="00F8392B"/>
    <w:rsid w:val="00F83943"/>
    <w:rsid w:val="00F83FAC"/>
    <w:rsid w:val="00F84423"/>
    <w:rsid w:val="00F84511"/>
    <w:rsid w:val="00F87D50"/>
    <w:rsid w:val="00F900F0"/>
    <w:rsid w:val="00F91318"/>
    <w:rsid w:val="00F9151C"/>
    <w:rsid w:val="00F9196B"/>
    <w:rsid w:val="00F92877"/>
    <w:rsid w:val="00F92D7F"/>
    <w:rsid w:val="00F93396"/>
    <w:rsid w:val="00F938FC"/>
    <w:rsid w:val="00F9397B"/>
    <w:rsid w:val="00F939FE"/>
    <w:rsid w:val="00F93E1A"/>
    <w:rsid w:val="00F95707"/>
    <w:rsid w:val="00F95AD5"/>
    <w:rsid w:val="00F961E7"/>
    <w:rsid w:val="00F970D6"/>
    <w:rsid w:val="00F972D9"/>
    <w:rsid w:val="00F97663"/>
    <w:rsid w:val="00F97A7F"/>
    <w:rsid w:val="00F97D06"/>
    <w:rsid w:val="00FA19DA"/>
    <w:rsid w:val="00FA315B"/>
    <w:rsid w:val="00FA37CC"/>
    <w:rsid w:val="00FA437A"/>
    <w:rsid w:val="00FA45E8"/>
    <w:rsid w:val="00FA4B64"/>
    <w:rsid w:val="00FA589E"/>
    <w:rsid w:val="00FA595C"/>
    <w:rsid w:val="00FA5B9B"/>
    <w:rsid w:val="00FA6262"/>
    <w:rsid w:val="00FA670E"/>
    <w:rsid w:val="00FB1AD7"/>
    <w:rsid w:val="00FB1F0B"/>
    <w:rsid w:val="00FB2009"/>
    <w:rsid w:val="00FB2AA8"/>
    <w:rsid w:val="00FB2B05"/>
    <w:rsid w:val="00FB3D28"/>
    <w:rsid w:val="00FB4C67"/>
    <w:rsid w:val="00FB528D"/>
    <w:rsid w:val="00FB5649"/>
    <w:rsid w:val="00FB5A87"/>
    <w:rsid w:val="00FB7DD0"/>
    <w:rsid w:val="00FC0728"/>
    <w:rsid w:val="00FC2076"/>
    <w:rsid w:val="00FC2F85"/>
    <w:rsid w:val="00FC3F67"/>
    <w:rsid w:val="00FC491B"/>
    <w:rsid w:val="00FC51E3"/>
    <w:rsid w:val="00FC56B2"/>
    <w:rsid w:val="00FC62D1"/>
    <w:rsid w:val="00FC6A10"/>
    <w:rsid w:val="00FD0CF9"/>
    <w:rsid w:val="00FD18E4"/>
    <w:rsid w:val="00FD19A2"/>
    <w:rsid w:val="00FD1DF1"/>
    <w:rsid w:val="00FD2FCF"/>
    <w:rsid w:val="00FD375E"/>
    <w:rsid w:val="00FD3B3C"/>
    <w:rsid w:val="00FD408A"/>
    <w:rsid w:val="00FD45B6"/>
    <w:rsid w:val="00FD49CF"/>
    <w:rsid w:val="00FD5027"/>
    <w:rsid w:val="00FD5765"/>
    <w:rsid w:val="00FD5F94"/>
    <w:rsid w:val="00FD7F68"/>
    <w:rsid w:val="00FE0B0E"/>
    <w:rsid w:val="00FE132A"/>
    <w:rsid w:val="00FE22A8"/>
    <w:rsid w:val="00FE231D"/>
    <w:rsid w:val="00FE2A59"/>
    <w:rsid w:val="00FE34B7"/>
    <w:rsid w:val="00FE516B"/>
    <w:rsid w:val="00FE5BFF"/>
    <w:rsid w:val="00FE64CF"/>
    <w:rsid w:val="00FE7057"/>
    <w:rsid w:val="00FF083D"/>
    <w:rsid w:val="00FF0C00"/>
    <w:rsid w:val="00FF110D"/>
    <w:rsid w:val="00FF1B32"/>
    <w:rsid w:val="00FF2279"/>
    <w:rsid w:val="00FF313A"/>
    <w:rsid w:val="00FF3427"/>
    <w:rsid w:val="00FF39A3"/>
    <w:rsid w:val="00FF4BED"/>
    <w:rsid w:val="00FF5791"/>
    <w:rsid w:val="00FF57F2"/>
    <w:rsid w:val="00FF6A6F"/>
    <w:rsid w:val="00FF6A7D"/>
    <w:rsid w:val="00FF71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F80E"/>
  <w15:chartTrackingRefBased/>
  <w15:docId w15:val="{8CFE9953-9E8C-437F-844F-7880EACC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77"/>
  </w:style>
  <w:style w:type="paragraph" w:styleId="Heading1">
    <w:name w:val="heading 1"/>
    <w:basedOn w:val="Normal"/>
    <w:next w:val="Normal"/>
    <w:link w:val="Heading1Char"/>
    <w:uiPriority w:val="9"/>
    <w:qFormat/>
    <w:rsid w:val="009131FF"/>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9131FF"/>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9131FF"/>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9131FF"/>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9131FF"/>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913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FF"/>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9131FF"/>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9131FF"/>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9131FF"/>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9131FF"/>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913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1FF"/>
    <w:rPr>
      <w:rFonts w:eastAsiaTheme="majorEastAsia" w:cstheme="majorBidi"/>
      <w:color w:val="272727" w:themeColor="text1" w:themeTint="D8"/>
    </w:rPr>
  </w:style>
  <w:style w:type="paragraph" w:styleId="Title">
    <w:name w:val="Title"/>
    <w:basedOn w:val="Normal"/>
    <w:next w:val="Normal"/>
    <w:link w:val="TitleChar"/>
    <w:uiPriority w:val="10"/>
    <w:qFormat/>
    <w:rsid w:val="00913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1FF"/>
    <w:pPr>
      <w:spacing w:before="160"/>
      <w:jc w:val="center"/>
    </w:pPr>
    <w:rPr>
      <w:i/>
      <w:iCs/>
      <w:color w:val="404040" w:themeColor="text1" w:themeTint="BF"/>
    </w:rPr>
  </w:style>
  <w:style w:type="character" w:customStyle="1" w:styleId="QuoteChar">
    <w:name w:val="Quote Char"/>
    <w:basedOn w:val="DefaultParagraphFont"/>
    <w:link w:val="Quote"/>
    <w:uiPriority w:val="29"/>
    <w:rsid w:val="009131FF"/>
    <w:rPr>
      <w:i/>
      <w:iCs/>
      <w:color w:val="404040" w:themeColor="text1" w:themeTint="BF"/>
    </w:rPr>
  </w:style>
  <w:style w:type="paragraph" w:styleId="ListParagraph">
    <w:name w:val="List Paragraph"/>
    <w:basedOn w:val="Normal"/>
    <w:uiPriority w:val="34"/>
    <w:qFormat/>
    <w:rsid w:val="009131FF"/>
    <w:pPr>
      <w:ind w:left="720"/>
      <w:contextualSpacing/>
    </w:pPr>
  </w:style>
  <w:style w:type="character" w:styleId="IntenseEmphasis">
    <w:name w:val="Intense Emphasis"/>
    <w:basedOn w:val="DefaultParagraphFont"/>
    <w:uiPriority w:val="21"/>
    <w:qFormat/>
    <w:rsid w:val="009131FF"/>
    <w:rPr>
      <w:i/>
      <w:iCs/>
      <w:color w:val="374C80" w:themeColor="accent1" w:themeShade="BF"/>
    </w:rPr>
  </w:style>
  <w:style w:type="paragraph" w:styleId="IntenseQuote">
    <w:name w:val="Intense Quote"/>
    <w:basedOn w:val="Normal"/>
    <w:next w:val="Normal"/>
    <w:link w:val="IntenseQuoteChar"/>
    <w:uiPriority w:val="30"/>
    <w:qFormat/>
    <w:rsid w:val="009131FF"/>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9131FF"/>
    <w:rPr>
      <w:i/>
      <w:iCs/>
      <w:color w:val="374C80" w:themeColor="accent1" w:themeShade="BF"/>
    </w:rPr>
  </w:style>
  <w:style w:type="character" w:styleId="IntenseReference">
    <w:name w:val="Intense Reference"/>
    <w:basedOn w:val="DefaultParagraphFont"/>
    <w:uiPriority w:val="32"/>
    <w:qFormat/>
    <w:rsid w:val="009131FF"/>
    <w:rPr>
      <w:b/>
      <w:bCs/>
      <w:smallCaps/>
      <w:color w:val="374C80" w:themeColor="accent1" w:themeShade="BF"/>
      <w:spacing w:val="5"/>
    </w:rPr>
  </w:style>
  <w:style w:type="paragraph" w:styleId="TOCHeading">
    <w:name w:val="TOC Heading"/>
    <w:basedOn w:val="Heading1"/>
    <w:next w:val="Normal"/>
    <w:uiPriority w:val="39"/>
    <w:unhideWhenUsed/>
    <w:qFormat/>
    <w:rsid w:val="00AD2EA7"/>
    <w:pPr>
      <w:spacing w:before="240" w:after="0" w:line="259" w:lineRule="auto"/>
      <w:outlineLvl w:val="9"/>
    </w:pPr>
    <w:rPr>
      <w:kern w:val="0"/>
      <w:sz w:val="32"/>
      <w:szCs w:val="32"/>
      <w:lang w:eastAsia="lv-LV"/>
      <w14:ligatures w14:val="none"/>
    </w:rPr>
  </w:style>
  <w:style w:type="paragraph" w:styleId="TOC1">
    <w:name w:val="toc 1"/>
    <w:basedOn w:val="Normal"/>
    <w:next w:val="Normal"/>
    <w:autoRedefine/>
    <w:uiPriority w:val="39"/>
    <w:unhideWhenUsed/>
    <w:rsid w:val="006D4322"/>
    <w:pPr>
      <w:tabs>
        <w:tab w:val="right" w:leader="dot" w:pos="9736"/>
      </w:tabs>
      <w:spacing w:after="100"/>
      <w:jc w:val="both"/>
    </w:pPr>
    <w:rPr>
      <w:rFonts w:ascii="Times New Roman" w:hAnsi="Times New Roman" w:cs="Times New Roman"/>
      <w:b/>
      <w:bCs/>
      <w:noProof/>
    </w:rPr>
  </w:style>
  <w:style w:type="character" w:styleId="Hyperlink">
    <w:name w:val="Hyperlink"/>
    <w:basedOn w:val="DefaultParagraphFont"/>
    <w:uiPriority w:val="99"/>
    <w:unhideWhenUsed/>
    <w:rsid w:val="00AD2EA7"/>
    <w:rPr>
      <w:color w:val="9454C3" w:themeColor="hyperlink"/>
      <w:u w:val="single"/>
    </w:rPr>
  </w:style>
  <w:style w:type="paragraph" w:styleId="FootnoteText">
    <w:name w:val="footnote text"/>
    <w:aliases w:val="Char Char Char,Footnote Text1,Footnote Text1 Char"/>
    <w:basedOn w:val="Normal"/>
    <w:link w:val="FootnoteTextChar"/>
    <w:uiPriority w:val="99"/>
    <w:unhideWhenUsed/>
    <w:rsid w:val="003F15FE"/>
    <w:pPr>
      <w:spacing w:after="0" w:line="240" w:lineRule="auto"/>
    </w:pPr>
    <w:rPr>
      <w:sz w:val="20"/>
      <w:szCs w:val="20"/>
    </w:rPr>
  </w:style>
  <w:style w:type="character" w:customStyle="1" w:styleId="FootnoteTextChar">
    <w:name w:val="Footnote Text Char"/>
    <w:aliases w:val="Char Char Char Char,Footnote Text1 Char1,Footnote Text1 Char Char"/>
    <w:basedOn w:val="DefaultParagraphFont"/>
    <w:link w:val="FootnoteText"/>
    <w:uiPriority w:val="99"/>
    <w:rsid w:val="003F15FE"/>
    <w:rPr>
      <w:sz w:val="20"/>
      <w:szCs w:val="20"/>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
    <w:basedOn w:val="DefaultParagraphFont"/>
    <w:uiPriority w:val="99"/>
    <w:unhideWhenUsed/>
    <w:qFormat/>
    <w:rsid w:val="003F15FE"/>
    <w:rPr>
      <w:vertAlign w:val="superscript"/>
    </w:rPr>
  </w:style>
  <w:style w:type="character" w:styleId="CommentReference">
    <w:name w:val="annotation reference"/>
    <w:basedOn w:val="DefaultParagraphFont"/>
    <w:uiPriority w:val="99"/>
    <w:semiHidden/>
    <w:unhideWhenUsed/>
    <w:rsid w:val="004A04A4"/>
    <w:rPr>
      <w:sz w:val="16"/>
      <w:szCs w:val="16"/>
    </w:rPr>
  </w:style>
  <w:style w:type="paragraph" w:styleId="CommentText">
    <w:name w:val="annotation text"/>
    <w:basedOn w:val="Normal"/>
    <w:link w:val="CommentTextChar"/>
    <w:uiPriority w:val="99"/>
    <w:unhideWhenUsed/>
    <w:rsid w:val="004A04A4"/>
    <w:pPr>
      <w:spacing w:line="240" w:lineRule="auto"/>
    </w:pPr>
    <w:rPr>
      <w:sz w:val="20"/>
      <w:szCs w:val="20"/>
    </w:rPr>
  </w:style>
  <w:style w:type="character" w:customStyle="1" w:styleId="CommentTextChar">
    <w:name w:val="Comment Text Char"/>
    <w:basedOn w:val="DefaultParagraphFont"/>
    <w:link w:val="CommentText"/>
    <w:uiPriority w:val="99"/>
    <w:rsid w:val="004A04A4"/>
    <w:rPr>
      <w:sz w:val="20"/>
      <w:szCs w:val="20"/>
    </w:rPr>
  </w:style>
  <w:style w:type="paragraph" w:styleId="CommentSubject">
    <w:name w:val="annotation subject"/>
    <w:basedOn w:val="CommentText"/>
    <w:next w:val="CommentText"/>
    <w:link w:val="CommentSubjectChar"/>
    <w:uiPriority w:val="99"/>
    <w:semiHidden/>
    <w:unhideWhenUsed/>
    <w:rsid w:val="004A04A4"/>
    <w:rPr>
      <w:b/>
      <w:bCs/>
    </w:rPr>
  </w:style>
  <w:style w:type="character" w:customStyle="1" w:styleId="CommentSubjectChar">
    <w:name w:val="Comment Subject Char"/>
    <w:basedOn w:val="CommentTextChar"/>
    <w:link w:val="CommentSubject"/>
    <w:uiPriority w:val="99"/>
    <w:semiHidden/>
    <w:rsid w:val="004A04A4"/>
    <w:rPr>
      <w:b/>
      <w:bCs/>
      <w:sz w:val="20"/>
      <w:szCs w:val="20"/>
    </w:rPr>
  </w:style>
  <w:style w:type="character" w:styleId="UnresolvedMention">
    <w:name w:val="Unresolved Mention"/>
    <w:basedOn w:val="DefaultParagraphFont"/>
    <w:uiPriority w:val="99"/>
    <w:semiHidden/>
    <w:unhideWhenUsed/>
    <w:rsid w:val="00CC1561"/>
    <w:rPr>
      <w:color w:val="605E5C"/>
      <w:shd w:val="clear" w:color="auto" w:fill="E1DFDD"/>
    </w:rPr>
  </w:style>
  <w:style w:type="paragraph" w:styleId="Revision">
    <w:name w:val="Revision"/>
    <w:hidden/>
    <w:uiPriority w:val="99"/>
    <w:semiHidden/>
    <w:rsid w:val="005365FB"/>
    <w:pPr>
      <w:spacing w:after="0" w:line="240" w:lineRule="auto"/>
    </w:pPr>
  </w:style>
  <w:style w:type="paragraph" w:styleId="Header">
    <w:name w:val="header"/>
    <w:basedOn w:val="Normal"/>
    <w:link w:val="HeaderChar"/>
    <w:uiPriority w:val="99"/>
    <w:unhideWhenUsed/>
    <w:rsid w:val="005D0F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0FAE"/>
  </w:style>
  <w:style w:type="paragraph" w:styleId="Footer">
    <w:name w:val="footer"/>
    <w:basedOn w:val="Normal"/>
    <w:link w:val="FooterChar"/>
    <w:uiPriority w:val="99"/>
    <w:unhideWhenUsed/>
    <w:rsid w:val="005D0F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0FAE"/>
  </w:style>
  <w:style w:type="table" w:styleId="TableGrid">
    <w:name w:val="Table Grid"/>
    <w:basedOn w:val="TableNormal"/>
    <w:uiPriority w:val="39"/>
    <w:rsid w:val="00C00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6C87"/>
    <w:rPr>
      <w:rFonts w:ascii="Times New Roman" w:hAnsi="Times New Roman" w:cs="Times New Roman"/>
    </w:rPr>
  </w:style>
  <w:style w:type="table" w:customStyle="1" w:styleId="TableGrid1">
    <w:name w:val="Table Grid1"/>
    <w:basedOn w:val="TableNormal"/>
    <w:next w:val="TableGrid"/>
    <w:uiPriority w:val="59"/>
    <w:rsid w:val="00753791"/>
    <w:pPr>
      <w:spacing w:after="0" w:line="240" w:lineRule="auto"/>
    </w:pPr>
    <w:rPr>
      <w:rFonts w:ascii="Cambria" w:eastAsia="MS Mincho" w:hAnsi="Cambria"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226E2"/>
    <w:pPr>
      <w:spacing w:after="0" w:line="240" w:lineRule="auto"/>
    </w:pPr>
    <w:rPr>
      <w:rFonts w:ascii="Cambria" w:eastAsia="MS Mincho" w:hAnsi="Cambria"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712B8"/>
    <w:pPr>
      <w:spacing w:after="100"/>
      <w:ind w:left="240"/>
    </w:pPr>
  </w:style>
  <w:style w:type="paragraph" w:styleId="NoSpacing">
    <w:name w:val="No Spacing"/>
    <w:link w:val="NoSpacingChar"/>
    <w:uiPriority w:val="1"/>
    <w:qFormat/>
    <w:rsid w:val="00ED1584"/>
    <w:pPr>
      <w:spacing w:after="0" w:line="240" w:lineRule="auto"/>
    </w:pPr>
    <w:rPr>
      <w:rFonts w:eastAsiaTheme="minorEastAsia"/>
      <w:kern w:val="0"/>
      <w:sz w:val="22"/>
      <w:szCs w:val="22"/>
      <w:lang w:eastAsia="lv-LV"/>
      <w14:ligatures w14:val="none"/>
    </w:rPr>
  </w:style>
  <w:style w:type="character" w:customStyle="1" w:styleId="NoSpacingChar">
    <w:name w:val="No Spacing Char"/>
    <w:basedOn w:val="DefaultParagraphFont"/>
    <w:link w:val="NoSpacing"/>
    <w:uiPriority w:val="1"/>
    <w:rsid w:val="00ED1584"/>
    <w:rPr>
      <w:rFonts w:eastAsiaTheme="minorEastAsia"/>
      <w:kern w:val="0"/>
      <w:sz w:val="22"/>
      <w:szCs w:val="2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58">
      <w:bodyDiv w:val="1"/>
      <w:marLeft w:val="0"/>
      <w:marRight w:val="0"/>
      <w:marTop w:val="0"/>
      <w:marBottom w:val="0"/>
      <w:divBdr>
        <w:top w:val="none" w:sz="0" w:space="0" w:color="auto"/>
        <w:left w:val="none" w:sz="0" w:space="0" w:color="auto"/>
        <w:bottom w:val="none" w:sz="0" w:space="0" w:color="auto"/>
        <w:right w:val="none" w:sz="0" w:space="0" w:color="auto"/>
      </w:divBdr>
    </w:div>
    <w:div w:id="2127767">
      <w:bodyDiv w:val="1"/>
      <w:marLeft w:val="0"/>
      <w:marRight w:val="0"/>
      <w:marTop w:val="0"/>
      <w:marBottom w:val="0"/>
      <w:divBdr>
        <w:top w:val="none" w:sz="0" w:space="0" w:color="auto"/>
        <w:left w:val="none" w:sz="0" w:space="0" w:color="auto"/>
        <w:bottom w:val="none" w:sz="0" w:space="0" w:color="auto"/>
        <w:right w:val="none" w:sz="0" w:space="0" w:color="auto"/>
      </w:divBdr>
    </w:div>
    <w:div w:id="11958715">
      <w:bodyDiv w:val="1"/>
      <w:marLeft w:val="0"/>
      <w:marRight w:val="0"/>
      <w:marTop w:val="0"/>
      <w:marBottom w:val="0"/>
      <w:divBdr>
        <w:top w:val="none" w:sz="0" w:space="0" w:color="auto"/>
        <w:left w:val="none" w:sz="0" w:space="0" w:color="auto"/>
        <w:bottom w:val="none" w:sz="0" w:space="0" w:color="auto"/>
        <w:right w:val="none" w:sz="0" w:space="0" w:color="auto"/>
      </w:divBdr>
    </w:div>
    <w:div w:id="56711491">
      <w:bodyDiv w:val="1"/>
      <w:marLeft w:val="0"/>
      <w:marRight w:val="0"/>
      <w:marTop w:val="0"/>
      <w:marBottom w:val="0"/>
      <w:divBdr>
        <w:top w:val="none" w:sz="0" w:space="0" w:color="auto"/>
        <w:left w:val="none" w:sz="0" w:space="0" w:color="auto"/>
        <w:bottom w:val="none" w:sz="0" w:space="0" w:color="auto"/>
        <w:right w:val="none" w:sz="0" w:space="0" w:color="auto"/>
      </w:divBdr>
    </w:div>
    <w:div w:id="63530435">
      <w:bodyDiv w:val="1"/>
      <w:marLeft w:val="0"/>
      <w:marRight w:val="0"/>
      <w:marTop w:val="0"/>
      <w:marBottom w:val="0"/>
      <w:divBdr>
        <w:top w:val="none" w:sz="0" w:space="0" w:color="auto"/>
        <w:left w:val="none" w:sz="0" w:space="0" w:color="auto"/>
        <w:bottom w:val="none" w:sz="0" w:space="0" w:color="auto"/>
        <w:right w:val="none" w:sz="0" w:space="0" w:color="auto"/>
      </w:divBdr>
    </w:div>
    <w:div w:id="71859440">
      <w:bodyDiv w:val="1"/>
      <w:marLeft w:val="0"/>
      <w:marRight w:val="0"/>
      <w:marTop w:val="0"/>
      <w:marBottom w:val="0"/>
      <w:divBdr>
        <w:top w:val="none" w:sz="0" w:space="0" w:color="auto"/>
        <w:left w:val="none" w:sz="0" w:space="0" w:color="auto"/>
        <w:bottom w:val="none" w:sz="0" w:space="0" w:color="auto"/>
        <w:right w:val="none" w:sz="0" w:space="0" w:color="auto"/>
      </w:divBdr>
    </w:div>
    <w:div w:id="92897079">
      <w:bodyDiv w:val="1"/>
      <w:marLeft w:val="0"/>
      <w:marRight w:val="0"/>
      <w:marTop w:val="0"/>
      <w:marBottom w:val="0"/>
      <w:divBdr>
        <w:top w:val="none" w:sz="0" w:space="0" w:color="auto"/>
        <w:left w:val="none" w:sz="0" w:space="0" w:color="auto"/>
        <w:bottom w:val="none" w:sz="0" w:space="0" w:color="auto"/>
        <w:right w:val="none" w:sz="0" w:space="0" w:color="auto"/>
      </w:divBdr>
    </w:div>
    <w:div w:id="103037275">
      <w:bodyDiv w:val="1"/>
      <w:marLeft w:val="0"/>
      <w:marRight w:val="0"/>
      <w:marTop w:val="0"/>
      <w:marBottom w:val="0"/>
      <w:divBdr>
        <w:top w:val="none" w:sz="0" w:space="0" w:color="auto"/>
        <w:left w:val="none" w:sz="0" w:space="0" w:color="auto"/>
        <w:bottom w:val="none" w:sz="0" w:space="0" w:color="auto"/>
        <w:right w:val="none" w:sz="0" w:space="0" w:color="auto"/>
      </w:divBdr>
    </w:div>
    <w:div w:id="204177160">
      <w:bodyDiv w:val="1"/>
      <w:marLeft w:val="0"/>
      <w:marRight w:val="0"/>
      <w:marTop w:val="0"/>
      <w:marBottom w:val="0"/>
      <w:divBdr>
        <w:top w:val="none" w:sz="0" w:space="0" w:color="auto"/>
        <w:left w:val="none" w:sz="0" w:space="0" w:color="auto"/>
        <w:bottom w:val="none" w:sz="0" w:space="0" w:color="auto"/>
        <w:right w:val="none" w:sz="0" w:space="0" w:color="auto"/>
      </w:divBdr>
    </w:div>
    <w:div w:id="276106181">
      <w:bodyDiv w:val="1"/>
      <w:marLeft w:val="0"/>
      <w:marRight w:val="0"/>
      <w:marTop w:val="0"/>
      <w:marBottom w:val="0"/>
      <w:divBdr>
        <w:top w:val="none" w:sz="0" w:space="0" w:color="auto"/>
        <w:left w:val="none" w:sz="0" w:space="0" w:color="auto"/>
        <w:bottom w:val="none" w:sz="0" w:space="0" w:color="auto"/>
        <w:right w:val="none" w:sz="0" w:space="0" w:color="auto"/>
      </w:divBdr>
    </w:div>
    <w:div w:id="300498641">
      <w:bodyDiv w:val="1"/>
      <w:marLeft w:val="0"/>
      <w:marRight w:val="0"/>
      <w:marTop w:val="0"/>
      <w:marBottom w:val="0"/>
      <w:divBdr>
        <w:top w:val="none" w:sz="0" w:space="0" w:color="auto"/>
        <w:left w:val="none" w:sz="0" w:space="0" w:color="auto"/>
        <w:bottom w:val="none" w:sz="0" w:space="0" w:color="auto"/>
        <w:right w:val="none" w:sz="0" w:space="0" w:color="auto"/>
      </w:divBdr>
    </w:div>
    <w:div w:id="302120998">
      <w:bodyDiv w:val="1"/>
      <w:marLeft w:val="0"/>
      <w:marRight w:val="0"/>
      <w:marTop w:val="0"/>
      <w:marBottom w:val="0"/>
      <w:divBdr>
        <w:top w:val="none" w:sz="0" w:space="0" w:color="auto"/>
        <w:left w:val="none" w:sz="0" w:space="0" w:color="auto"/>
        <w:bottom w:val="none" w:sz="0" w:space="0" w:color="auto"/>
        <w:right w:val="none" w:sz="0" w:space="0" w:color="auto"/>
      </w:divBdr>
    </w:div>
    <w:div w:id="331836492">
      <w:bodyDiv w:val="1"/>
      <w:marLeft w:val="0"/>
      <w:marRight w:val="0"/>
      <w:marTop w:val="0"/>
      <w:marBottom w:val="0"/>
      <w:divBdr>
        <w:top w:val="none" w:sz="0" w:space="0" w:color="auto"/>
        <w:left w:val="none" w:sz="0" w:space="0" w:color="auto"/>
        <w:bottom w:val="none" w:sz="0" w:space="0" w:color="auto"/>
        <w:right w:val="none" w:sz="0" w:space="0" w:color="auto"/>
      </w:divBdr>
    </w:div>
    <w:div w:id="352802209">
      <w:bodyDiv w:val="1"/>
      <w:marLeft w:val="0"/>
      <w:marRight w:val="0"/>
      <w:marTop w:val="0"/>
      <w:marBottom w:val="0"/>
      <w:divBdr>
        <w:top w:val="none" w:sz="0" w:space="0" w:color="auto"/>
        <w:left w:val="none" w:sz="0" w:space="0" w:color="auto"/>
        <w:bottom w:val="none" w:sz="0" w:space="0" w:color="auto"/>
        <w:right w:val="none" w:sz="0" w:space="0" w:color="auto"/>
      </w:divBdr>
    </w:div>
    <w:div w:id="353581004">
      <w:bodyDiv w:val="1"/>
      <w:marLeft w:val="0"/>
      <w:marRight w:val="0"/>
      <w:marTop w:val="0"/>
      <w:marBottom w:val="0"/>
      <w:divBdr>
        <w:top w:val="none" w:sz="0" w:space="0" w:color="auto"/>
        <w:left w:val="none" w:sz="0" w:space="0" w:color="auto"/>
        <w:bottom w:val="none" w:sz="0" w:space="0" w:color="auto"/>
        <w:right w:val="none" w:sz="0" w:space="0" w:color="auto"/>
      </w:divBdr>
    </w:div>
    <w:div w:id="374234297">
      <w:bodyDiv w:val="1"/>
      <w:marLeft w:val="0"/>
      <w:marRight w:val="0"/>
      <w:marTop w:val="0"/>
      <w:marBottom w:val="0"/>
      <w:divBdr>
        <w:top w:val="none" w:sz="0" w:space="0" w:color="auto"/>
        <w:left w:val="none" w:sz="0" w:space="0" w:color="auto"/>
        <w:bottom w:val="none" w:sz="0" w:space="0" w:color="auto"/>
        <w:right w:val="none" w:sz="0" w:space="0" w:color="auto"/>
      </w:divBdr>
    </w:div>
    <w:div w:id="384258885">
      <w:bodyDiv w:val="1"/>
      <w:marLeft w:val="0"/>
      <w:marRight w:val="0"/>
      <w:marTop w:val="0"/>
      <w:marBottom w:val="0"/>
      <w:divBdr>
        <w:top w:val="none" w:sz="0" w:space="0" w:color="auto"/>
        <w:left w:val="none" w:sz="0" w:space="0" w:color="auto"/>
        <w:bottom w:val="none" w:sz="0" w:space="0" w:color="auto"/>
        <w:right w:val="none" w:sz="0" w:space="0" w:color="auto"/>
      </w:divBdr>
    </w:div>
    <w:div w:id="401104167">
      <w:bodyDiv w:val="1"/>
      <w:marLeft w:val="0"/>
      <w:marRight w:val="0"/>
      <w:marTop w:val="0"/>
      <w:marBottom w:val="0"/>
      <w:divBdr>
        <w:top w:val="none" w:sz="0" w:space="0" w:color="auto"/>
        <w:left w:val="none" w:sz="0" w:space="0" w:color="auto"/>
        <w:bottom w:val="none" w:sz="0" w:space="0" w:color="auto"/>
        <w:right w:val="none" w:sz="0" w:space="0" w:color="auto"/>
      </w:divBdr>
    </w:div>
    <w:div w:id="420838009">
      <w:bodyDiv w:val="1"/>
      <w:marLeft w:val="0"/>
      <w:marRight w:val="0"/>
      <w:marTop w:val="0"/>
      <w:marBottom w:val="0"/>
      <w:divBdr>
        <w:top w:val="none" w:sz="0" w:space="0" w:color="auto"/>
        <w:left w:val="none" w:sz="0" w:space="0" w:color="auto"/>
        <w:bottom w:val="none" w:sz="0" w:space="0" w:color="auto"/>
        <w:right w:val="none" w:sz="0" w:space="0" w:color="auto"/>
      </w:divBdr>
    </w:div>
    <w:div w:id="432746143">
      <w:bodyDiv w:val="1"/>
      <w:marLeft w:val="0"/>
      <w:marRight w:val="0"/>
      <w:marTop w:val="0"/>
      <w:marBottom w:val="0"/>
      <w:divBdr>
        <w:top w:val="none" w:sz="0" w:space="0" w:color="auto"/>
        <w:left w:val="none" w:sz="0" w:space="0" w:color="auto"/>
        <w:bottom w:val="none" w:sz="0" w:space="0" w:color="auto"/>
        <w:right w:val="none" w:sz="0" w:space="0" w:color="auto"/>
      </w:divBdr>
    </w:div>
    <w:div w:id="438373159">
      <w:bodyDiv w:val="1"/>
      <w:marLeft w:val="0"/>
      <w:marRight w:val="0"/>
      <w:marTop w:val="0"/>
      <w:marBottom w:val="0"/>
      <w:divBdr>
        <w:top w:val="none" w:sz="0" w:space="0" w:color="auto"/>
        <w:left w:val="none" w:sz="0" w:space="0" w:color="auto"/>
        <w:bottom w:val="none" w:sz="0" w:space="0" w:color="auto"/>
        <w:right w:val="none" w:sz="0" w:space="0" w:color="auto"/>
      </w:divBdr>
    </w:div>
    <w:div w:id="443572146">
      <w:bodyDiv w:val="1"/>
      <w:marLeft w:val="0"/>
      <w:marRight w:val="0"/>
      <w:marTop w:val="0"/>
      <w:marBottom w:val="0"/>
      <w:divBdr>
        <w:top w:val="none" w:sz="0" w:space="0" w:color="auto"/>
        <w:left w:val="none" w:sz="0" w:space="0" w:color="auto"/>
        <w:bottom w:val="none" w:sz="0" w:space="0" w:color="auto"/>
        <w:right w:val="none" w:sz="0" w:space="0" w:color="auto"/>
      </w:divBdr>
    </w:div>
    <w:div w:id="460613044">
      <w:bodyDiv w:val="1"/>
      <w:marLeft w:val="0"/>
      <w:marRight w:val="0"/>
      <w:marTop w:val="0"/>
      <w:marBottom w:val="0"/>
      <w:divBdr>
        <w:top w:val="none" w:sz="0" w:space="0" w:color="auto"/>
        <w:left w:val="none" w:sz="0" w:space="0" w:color="auto"/>
        <w:bottom w:val="none" w:sz="0" w:space="0" w:color="auto"/>
        <w:right w:val="none" w:sz="0" w:space="0" w:color="auto"/>
      </w:divBdr>
    </w:div>
    <w:div w:id="465200870">
      <w:bodyDiv w:val="1"/>
      <w:marLeft w:val="0"/>
      <w:marRight w:val="0"/>
      <w:marTop w:val="0"/>
      <w:marBottom w:val="0"/>
      <w:divBdr>
        <w:top w:val="none" w:sz="0" w:space="0" w:color="auto"/>
        <w:left w:val="none" w:sz="0" w:space="0" w:color="auto"/>
        <w:bottom w:val="none" w:sz="0" w:space="0" w:color="auto"/>
        <w:right w:val="none" w:sz="0" w:space="0" w:color="auto"/>
      </w:divBdr>
    </w:div>
    <w:div w:id="516893523">
      <w:bodyDiv w:val="1"/>
      <w:marLeft w:val="0"/>
      <w:marRight w:val="0"/>
      <w:marTop w:val="0"/>
      <w:marBottom w:val="0"/>
      <w:divBdr>
        <w:top w:val="none" w:sz="0" w:space="0" w:color="auto"/>
        <w:left w:val="none" w:sz="0" w:space="0" w:color="auto"/>
        <w:bottom w:val="none" w:sz="0" w:space="0" w:color="auto"/>
        <w:right w:val="none" w:sz="0" w:space="0" w:color="auto"/>
      </w:divBdr>
    </w:div>
    <w:div w:id="527137578">
      <w:bodyDiv w:val="1"/>
      <w:marLeft w:val="0"/>
      <w:marRight w:val="0"/>
      <w:marTop w:val="0"/>
      <w:marBottom w:val="0"/>
      <w:divBdr>
        <w:top w:val="none" w:sz="0" w:space="0" w:color="auto"/>
        <w:left w:val="none" w:sz="0" w:space="0" w:color="auto"/>
        <w:bottom w:val="none" w:sz="0" w:space="0" w:color="auto"/>
        <w:right w:val="none" w:sz="0" w:space="0" w:color="auto"/>
      </w:divBdr>
    </w:div>
    <w:div w:id="553270805">
      <w:bodyDiv w:val="1"/>
      <w:marLeft w:val="0"/>
      <w:marRight w:val="0"/>
      <w:marTop w:val="0"/>
      <w:marBottom w:val="0"/>
      <w:divBdr>
        <w:top w:val="none" w:sz="0" w:space="0" w:color="auto"/>
        <w:left w:val="none" w:sz="0" w:space="0" w:color="auto"/>
        <w:bottom w:val="none" w:sz="0" w:space="0" w:color="auto"/>
        <w:right w:val="none" w:sz="0" w:space="0" w:color="auto"/>
      </w:divBdr>
    </w:div>
    <w:div w:id="568659596">
      <w:bodyDiv w:val="1"/>
      <w:marLeft w:val="0"/>
      <w:marRight w:val="0"/>
      <w:marTop w:val="0"/>
      <w:marBottom w:val="0"/>
      <w:divBdr>
        <w:top w:val="none" w:sz="0" w:space="0" w:color="auto"/>
        <w:left w:val="none" w:sz="0" w:space="0" w:color="auto"/>
        <w:bottom w:val="none" w:sz="0" w:space="0" w:color="auto"/>
        <w:right w:val="none" w:sz="0" w:space="0" w:color="auto"/>
      </w:divBdr>
      <w:divsChild>
        <w:div w:id="1831558585">
          <w:marLeft w:val="0"/>
          <w:marRight w:val="0"/>
          <w:marTop w:val="0"/>
          <w:marBottom w:val="0"/>
          <w:divBdr>
            <w:top w:val="none" w:sz="0" w:space="0" w:color="auto"/>
            <w:left w:val="none" w:sz="0" w:space="0" w:color="auto"/>
            <w:bottom w:val="none" w:sz="0" w:space="0" w:color="auto"/>
            <w:right w:val="none" w:sz="0" w:space="0" w:color="auto"/>
          </w:divBdr>
          <w:divsChild>
            <w:div w:id="81805876">
              <w:marLeft w:val="0"/>
              <w:marRight w:val="0"/>
              <w:marTop w:val="0"/>
              <w:marBottom w:val="0"/>
              <w:divBdr>
                <w:top w:val="none" w:sz="0" w:space="0" w:color="auto"/>
                <w:left w:val="none" w:sz="0" w:space="0" w:color="auto"/>
                <w:bottom w:val="none" w:sz="0" w:space="0" w:color="auto"/>
                <w:right w:val="none" w:sz="0" w:space="0" w:color="auto"/>
              </w:divBdr>
              <w:divsChild>
                <w:div w:id="932055364">
                  <w:marLeft w:val="0"/>
                  <w:marRight w:val="0"/>
                  <w:marTop w:val="0"/>
                  <w:marBottom w:val="0"/>
                  <w:divBdr>
                    <w:top w:val="none" w:sz="0" w:space="0" w:color="auto"/>
                    <w:left w:val="none" w:sz="0" w:space="0" w:color="auto"/>
                    <w:bottom w:val="none" w:sz="0" w:space="0" w:color="auto"/>
                    <w:right w:val="none" w:sz="0" w:space="0" w:color="auto"/>
                  </w:divBdr>
                  <w:divsChild>
                    <w:div w:id="670520904">
                      <w:marLeft w:val="0"/>
                      <w:marRight w:val="0"/>
                      <w:marTop w:val="0"/>
                      <w:marBottom w:val="0"/>
                      <w:divBdr>
                        <w:top w:val="none" w:sz="0" w:space="0" w:color="auto"/>
                        <w:left w:val="none" w:sz="0" w:space="0" w:color="auto"/>
                        <w:bottom w:val="none" w:sz="0" w:space="0" w:color="auto"/>
                        <w:right w:val="none" w:sz="0" w:space="0" w:color="auto"/>
                      </w:divBdr>
                      <w:divsChild>
                        <w:div w:id="1115758134">
                          <w:marLeft w:val="0"/>
                          <w:marRight w:val="0"/>
                          <w:marTop w:val="0"/>
                          <w:marBottom w:val="0"/>
                          <w:divBdr>
                            <w:top w:val="none" w:sz="0" w:space="0" w:color="auto"/>
                            <w:left w:val="none" w:sz="0" w:space="0" w:color="auto"/>
                            <w:bottom w:val="none" w:sz="0" w:space="0" w:color="auto"/>
                            <w:right w:val="none" w:sz="0" w:space="0" w:color="auto"/>
                          </w:divBdr>
                          <w:divsChild>
                            <w:div w:id="1655406559">
                              <w:marLeft w:val="0"/>
                              <w:marRight w:val="0"/>
                              <w:marTop w:val="0"/>
                              <w:marBottom w:val="0"/>
                              <w:divBdr>
                                <w:top w:val="none" w:sz="0" w:space="0" w:color="auto"/>
                                <w:left w:val="none" w:sz="0" w:space="0" w:color="auto"/>
                                <w:bottom w:val="none" w:sz="0" w:space="0" w:color="auto"/>
                                <w:right w:val="none" w:sz="0" w:space="0" w:color="auto"/>
                              </w:divBdr>
                              <w:divsChild>
                                <w:div w:id="1364743417">
                                  <w:marLeft w:val="0"/>
                                  <w:marRight w:val="0"/>
                                  <w:marTop w:val="0"/>
                                  <w:marBottom w:val="0"/>
                                  <w:divBdr>
                                    <w:top w:val="none" w:sz="0" w:space="0" w:color="auto"/>
                                    <w:left w:val="none" w:sz="0" w:space="0" w:color="auto"/>
                                    <w:bottom w:val="none" w:sz="0" w:space="0" w:color="auto"/>
                                    <w:right w:val="none" w:sz="0" w:space="0" w:color="auto"/>
                                  </w:divBdr>
                                  <w:divsChild>
                                    <w:div w:id="13558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030">
                          <w:marLeft w:val="0"/>
                          <w:marRight w:val="0"/>
                          <w:marTop w:val="0"/>
                          <w:marBottom w:val="0"/>
                          <w:divBdr>
                            <w:top w:val="none" w:sz="0" w:space="0" w:color="auto"/>
                            <w:left w:val="none" w:sz="0" w:space="0" w:color="auto"/>
                            <w:bottom w:val="none" w:sz="0" w:space="0" w:color="auto"/>
                            <w:right w:val="none" w:sz="0" w:space="0" w:color="auto"/>
                          </w:divBdr>
                          <w:divsChild>
                            <w:div w:id="1803882430">
                              <w:marLeft w:val="0"/>
                              <w:marRight w:val="0"/>
                              <w:marTop w:val="0"/>
                              <w:marBottom w:val="0"/>
                              <w:divBdr>
                                <w:top w:val="none" w:sz="0" w:space="0" w:color="auto"/>
                                <w:left w:val="none" w:sz="0" w:space="0" w:color="auto"/>
                                <w:bottom w:val="none" w:sz="0" w:space="0" w:color="auto"/>
                                <w:right w:val="none" w:sz="0" w:space="0" w:color="auto"/>
                              </w:divBdr>
                              <w:divsChild>
                                <w:div w:id="5602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43653">
      <w:bodyDiv w:val="1"/>
      <w:marLeft w:val="0"/>
      <w:marRight w:val="0"/>
      <w:marTop w:val="0"/>
      <w:marBottom w:val="0"/>
      <w:divBdr>
        <w:top w:val="none" w:sz="0" w:space="0" w:color="auto"/>
        <w:left w:val="none" w:sz="0" w:space="0" w:color="auto"/>
        <w:bottom w:val="none" w:sz="0" w:space="0" w:color="auto"/>
        <w:right w:val="none" w:sz="0" w:space="0" w:color="auto"/>
      </w:divBdr>
    </w:div>
    <w:div w:id="588319706">
      <w:bodyDiv w:val="1"/>
      <w:marLeft w:val="0"/>
      <w:marRight w:val="0"/>
      <w:marTop w:val="0"/>
      <w:marBottom w:val="0"/>
      <w:divBdr>
        <w:top w:val="none" w:sz="0" w:space="0" w:color="auto"/>
        <w:left w:val="none" w:sz="0" w:space="0" w:color="auto"/>
        <w:bottom w:val="none" w:sz="0" w:space="0" w:color="auto"/>
        <w:right w:val="none" w:sz="0" w:space="0" w:color="auto"/>
      </w:divBdr>
    </w:div>
    <w:div w:id="622422291">
      <w:bodyDiv w:val="1"/>
      <w:marLeft w:val="0"/>
      <w:marRight w:val="0"/>
      <w:marTop w:val="0"/>
      <w:marBottom w:val="0"/>
      <w:divBdr>
        <w:top w:val="none" w:sz="0" w:space="0" w:color="auto"/>
        <w:left w:val="none" w:sz="0" w:space="0" w:color="auto"/>
        <w:bottom w:val="none" w:sz="0" w:space="0" w:color="auto"/>
        <w:right w:val="none" w:sz="0" w:space="0" w:color="auto"/>
      </w:divBdr>
    </w:div>
    <w:div w:id="643434062">
      <w:bodyDiv w:val="1"/>
      <w:marLeft w:val="0"/>
      <w:marRight w:val="0"/>
      <w:marTop w:val="0"/>
      <w:marBottom w:val="0"/>
      <w:divBdr>
        <w:top w:val="none" w:sz="0" w:space="0" w:color="auto"/>
        <w:left w:val="none" w:sz="0" w:space="0" w:color="auto"/>
        <w:bottom w:val="none" w:sz="0" w:space="0" w:color="auto"/>
        <w:right w:val="none" w:sz="0" w:space="0" w:color="auto"/>
      </w:divBdr>
    </w:div>
    <w:div w:id="663509716">
      <w:bodyDiv w:val="1"/>
      <w:marLeft w:val="0"/>
      <w:marRight w:val="0"/>
      <w:marTop w:val="0"/>
      <w:marBottom w:val="0"/>
      <w:divBdr>
        <w:top w:val="none" w:sz="0" w:space="0" w:color="auto"/>
        <w:left w:val="none" w:sz="0" w:space="0" w:color="auto"/>
        <w:bottom w:val="none" w:sz="0" w:space="0" w:color="auto"/>
        <w:right w:val="none" w:sz="0" w:space="0" w:color="auto"/>
      </w:divBdr>
    </w:div>
    <w:div w:id="674458074">
      <w:bodyDiv w:val="1"/>
      <w:marLeft w:val="0"/>
      <w:marRight w:val="0"/>
      <w:marTop w:val="0"/>
      <w:marBottom w:val="0"/>
      <w:divBdr>
        <w:top w:val="none" w:sz="0" w:space="0" w:color="auto"/>
        <w:left w:val="none" w:sz="0" w:space="0" w:color="auto"/>
        <w:bottom w:val="none" w:sz="0" w:space="0" w:color="auto"/>
        <w:right w:val="none" w:sz="0" w:space="0" w:color="auto"/>
      </w:divBdr>
    </w:div>
    <w:div w:id="694502381">
      <w:bodyDiv w:val="1"/>
      <w:marLeft w:val="0"/>
      <w:marRight w:val="0"/>
      <w:marTop w:val="0"/>
      <w:marBottom w:val="0"/>
      <w:divBdr>
        <w:top w:val="none" w:sz="0" w:space="0" w:color="auto"/>
        <w:left w:val="none" w:sz="0" w:space="0" w:color="auto"/>
        <w:bottom w:val="none" w:sz="0" w:space="0" w:color="auto"/>
        <w:right w:val="none" w:sz="0" w:space="0" w:color="auto"/>
      </w:divBdr>
    </w:div>
    <w:div w:id="703364761">
      <w:bodyDiv w:val="1"/>
      <w:marLeft w:val="0"/>
      <w:marRight w:val="0"/>
      <w:marTop w:val="0"/>
      <w:marBottom w:val="0"/>
      <w:divBdr>
        <w:top w:val="none" w:sz="0" w:space="0" w:color="auto"/>
        <w:left w:val="none" w:sz="0" w:space="0" w:color="auto"/>
        <w:bottom w:val="none" w:sz="0" w:space="0" w:color="auto"/>
        <w:right w:val="none" w:sz="0" w:space="0" w:color="auto"/>
      </w:divBdr>
    </w:div>
    <w:div w:id="706831627">
      <w:bodyDiv w:val="1"/>
      <w:marLeft w:val="0"/>
      <w:marRight w:val="0"/>
      <w:marTop w:val="0"/>
      <w:marBottom w:val="0"/>
      <w:divBdr>
        <w:top w:val="none" w:sz="0" w:space="0" w:color="auto"/>
        <w:left w:val="none" w:sz="0" w:space="0" w:color="auto"/>
        <w:bottom w:val="none" w:sz="0" w:space="0" w:color="auto"/>
        <w:right w:val="none" w:sz="0" w:space="0" w:color="auto"/>
      </w:divBdr>
    </w:div>
    <w:div w:id="717969434">
      <w:bodyDiv w:val="1"/>
      <w:marLeft w:val="0"/>
      <w:marRight w:val="0"/>
      <w:marTop w:val="0"/>
      <w:marBottom w:val="0"/>
      <w:divBdr>
        <w:top w:val="none" w:sz="0" w:space="0" w:color="auto"/>
        <w:left w:val="none" w:sz="0" w:space="0" w:color="auto"/>
        <w:bottom w:val="none" w:sz="0" w:space="0" w:color="auto"/>
        <w:right w:val="none" w:sz="0" w:space="0" w:color="auto"/>
      </w:divBdr>
    </w:div>
    <w:div w:id="720440708">
      <w:bodyDiv w:val="1"/>
      <w:marLeft w:val="0"/>
      <w:marRight w:val="0"/>
      <w:marTop w:val="0"/>
      <w:marBottom w:val="0"/>
      <w:divBdr>
        <w:top w:val="none" w:sz="0" w:space="0" w:color="auto"/>
        <w:left w:val="none" w:sz="0" w:space="0" w:color="auto"/>
        <w:bottom w:val="none" w:sz="0" w:space="0" w:color="auto"/>
        <w:right w:val="none" w:sz="0" w:space="0" w:color="auto"/>
      </w:divBdr>
    </w:div>
    <w:div w:id="775171289">
      <w:bodyDiv w:val="1"/>
      <w:marLeft w:val="0"/>
      <w:marRight w:val="0"/>
      <w:marTop w:val="0"/>
      <w:marBottom w:val="0"/>
      <w:divBdr>
        <w:top w:val="none" w:sz="0" w:space="0" w:color="auto"/>
        <w:left w:val="none" w:sz="0" w:space="0" w:color="auto"/>
        <w:bottom w:val="none" w:sz="0" w:space="0" w:color="auto"/>
        <w:right w:val="none" w:sz="0" w:space="0" w:color="auto"/>
      </w:divBdr>
    </w:div>
    <w:div w:id="786391177">
      <w:bodyDiv w:val="1"/>
      <w:marLeft w:val="0"/>
      <w:marRight w:val="0"/>
      <w:marTop w:val="0"/>
      <w:marBottom w:val="0"/>
      <w:divBdr>
        <w:top w:val="none" w:sz="0" w:space="0" w:color="auto"/>
        <w:left w:val="none" w:sz="0" w:space="0" w:color="auto"/>
        <w:bottom w:val="none" w:sz="0" w:space="0" w:color="auto"/>
        <w:right w:val="none" w:sz="0" w:space="0" w:color="auto"/>
      </w:divBdr>
    </w:div>
    <w:div w:id="788085368">
      <w:bodyDiv w:val="1"/>
      <w:marLeft w:val="0"/>
      <w:marRight w:val="0"/>
      <w:marTop w:val="0"/>
      <w:marBottom w:val="0"/>
      <w:divBdr>
        <w:top w:val="none" w:sz="0" w:space="0" w:color="auto"/>
        <w:left w:val="none" w:sz="0" w:space="0" w:color="auto"/>
        <w:bottom w:val="none" w:sz="0" w:space="0" w:color="auto"/>
        <w:right w:val="none" w:sz="0" w:space="0" w:color="auto"/>
      </w:divBdr>
    </w:div>
    <w:div w:id="826019381">
      <w:bodyDiv w:val="1"/>
      <w:marLeft w:val="0"/>
      <w:marRight w:val="0"/>
      <w:marTop w:val="0"/>
      <w:marBottom w:val="0"/>
      <w:divBdr>
        <w:top w:val="none" w:sz="0" w:space="0" w:color="auto"/>
        <w:left w:val="none" w:sz="0" w:space="0" w:color="auto"/>
        <w:bottom w:val="none" w:sz="0" w:space="0" w:color="auto"/>
        <w:right w:val="none" w:sz="0" w:space="0" w:color="auto"/>
      </w:divBdr>
    </w:div>
    <w:div w:id="851139882">
      <w:bodyDiv w:val="1"/>
      <w:marLeft w:val="0"/>
      <w:marRight w:val="0"/>
      <w:marTop w:val="0"/>
      <w:marBottom w:val="0"/>
      <w:divBdr>
        <w:top w:val="none" w:sz="0" w:space="0" w:color="auto"/>
        <w:left w:val="none" w:sz="0" w:space="0" w:color="auto"/>
        <w:bottom w:val="none" w:sz="0" w:space="0" w:color="auto"/>
        <w:right w:val="none" w:sz="0" w:space="0" w:color="auto"/>
      </w:divBdr>
    </w:div>
    <w:div w:id="870265842">
      <w:bodyDiv w:val="1"/>
      <w:marLeft w:val="0"/>
      <w:marRight w:val="0"/>
      <w:marTop w:val="0"/>
      <w:marBottom w:val="0"/>
      <w:divBdr>
        <w:top w:val="none" w:sz="0" w:space="0" w:color="auto"/>
        <w:left w:val="none" w:sz="0" w:space="0" w:color="auto"/>
        <w:bottom w:val="none" w:sz="0" w:space="0" w:color="auto"/>
        <w:right w:val="none" w:sz="0" w:space="0" w:color="auto"/>
      </w:divBdr>
    </w:div>
    <w:div w:id="877816470">
      <w:bodyDiv w:val="1"/>
      <w:marLeft w:val="0"/>
      <w:marRight w:val="0"/>
      <w:marTop w:val="0"/>
      <w:marBottom w:val="0"/>
      <w:divBdr>
        <w:top w:val="none" w:sz="0" w:space="0" w:color="auto"/>
        <w:left w:val="none" w:sz="0" w:space="0" w:color="auto"/>
        <w:bottom w:val="none" w:sz="0" w:space="0" w:color="auto"/>
        <w:right w:val="none" w:sz="0" w:space="0" w:color="auto"/>
      </w:divBdr>
      <w:divsChild>
        <w:div w:id="369065050">
          <w:marLeft w:val="0"/>
          <w:marRight w:val="0"/>
          <w:marTop w:val="0"/>
          <w:marBottom w:val="0"/>
          <w:divBdr>
            <w:top w:val="none" w:sz="0" w:space="0" w:color="auto"/>
            <w:left w:val="none" w:sz="0" w:space="0" w:color="auto"/>
            <w:bottom w:val="none" w:sz="0" w:space="0" w:color="auto"/>
            <w:right w:val="none" w:sz="0" w:space="0" w:color="auto"/>
          </w:divBdr>
          <w:divsChild>
            <w:div w:id="1124277177">
              <w:marLeft w:val="0"/>
              <w:marRight w:val="0"/>
              <w:marTop w:val="0"/>
              <w:marBottom w:val="0"/>
              <w:divBdr>
                <w:top w:val="none" w:sz="0" w:space="0" w:color="auto"/>
                <w:left w:val="none" w:sz="0" w:space="0" w:color="auto"/>
                <w:bottom w:val="none" w:sz="0" w:space="0" w:color="auto"/>
                <w:right w:val="none" w:sz="0" w:space="0" w:color="auto"/>
              </w:divBdr>
              <w:divsChild>
                <w:div w:id="1006708360">
                  <w:marLeft w:val="0"/>
                  <w:marRight w:val="0"/>
                  <w:marTop w:val="0"/>
                  <w:marBottom w:val="0"/>
                  <w:divBdr>
                    <w:top w:val="none" w:sz="0" w:space="0" w:color="auto"/>
                    <w:left w:val="none" w:sz="0" w:space="0" w:color="auto"/>
                    <w:bottom w:val="none" w:sz="0" w:space="0" w:color="auto"/>
                    <w:right w:val="none" w:sz="0" w:space="0" w:color="auto"/>
                  </w:divBdr>
                  <w:divsChild>
                    <w:div w:id="1812013133">
                      <w:marLeft w:val="0"/>
                      <w:marRight w:val="0"/>
                      <w:marTop w:val="0"/>
                      <w:marBottom w:val="0"/>
                      <w:divBdr>
                        <w:top w:val="none" w:sz="0" w:space="0" w:color="auto"/>
                        <w:left w:val="none" w:sz="0" w:space="0" w:color="auto"/>
                        <w:bottom w:val="none" w:sz="0" w:space="0" w:color="auto"/>
                        <w:right w:val="none" w:sz="0" w:space="0" w:color="auto"/>
                      </w:divBdr>
                      <w:divsChild>
                        <w:div w:id="215823453">
                          <w:marLeft w:val="0"/>
                          <w:marRight w:val="0"/>
                          <w:marTop w:val="0"/>
                          <w:marBottom w:val="0"/>
                          <w:divBdr>
                            <w:top w:val="none" w:sz="0" w:space="0" w:color="auto"/>
                            <w:left w:val="none" w:sz="0" w:space="0" w:color="auto"/>
                            <w:bottom w:val="none" w:sz="0" w:space="0" w:color="auto"/>
                            <w:right w:val="none" w:sz="0" w:space="0" w:color="auto"/>
                          </w:divBdr>
                          <w:divsChild>
                            <w:div w:id="344982959">
                              <w:marLeft w:val="0"/>
                              <w:marRight w:val="0"/>
                              <w:marTop w:val="0"/>
                              <w:marBottom w:val="0"/>
                              <w:divBdr>
                                <w:top w:val="none" w:sz="0" w:space="0" w:color="auto"/>
                                <w:left w:val="none" w:sz="0" w:space="0" w:color="auto"/>
                                <w:bottom w:val="none" w:sz="0" w:space="0" w:color="auto"/>
                                <w:right w:val="none" w:sz="0" w:space="0" w:color="auto"/>
                              </w:divBdr>
                              <w:divsChild>
                                <w:div w:id="3956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94835">
                          <w:marLeft w:val="0"/>
                          <w:marRight w:val="0"/>
                          <w:marTop w:val="0"/>
                          <w:marBottom w:val="0"/>
                          <w:divBdr>
                            <w:top w:val="none" w:sz="0" w:space="0" w:color="auto"/>
                            <w:left w:val="none" w:sz="0" w:space="0" w:color="auto"/>
                            <w:bottom w:val="none" w:sz="0" w:space="0" w:color="auto"/>
                            <w:right w:val="none" w:sz="0" w:space="0" w:color="auto"/>
                          </w:divBdr>
                          <w:divsChild>
                            <w:div w:id="960720115">
                              <w:marLeft w:val="0"/>
                              <w:marRight w:val="0"/>
                              <w:marTop w:val="0"/>
                              <w:marBottom w:val="0"/>
                              <w:divBdr>
                                <w:top w:val="none" w:sz="0" w:space="0" w:color="auto"/>
                                <w:left w:val="none" w:sz="0" w:space="0" w:color="auto"/>
                                <w:bottom w:val="none" w:sz="0" w:space="0" w:color="auto"/>
                                <w:right w:val="none" w:sz="0" w:space="0" w:color="auto"/>
                              </w:divBdr>
                              <w:divsChild>
                                <w:div w:id="555942093">
                                  <w:marLeft w:val="0"/>
                                  <w:marRight w:val="0"/>
                                  <w:marTop w:val="0"/>
                                  <w:marBottom w:val="0"/>
                                  <w:divBdr>
                                    <w:top w:val="none" w:sz="0" w:space="0" w:color="auto"/>
                                    <w:left w:val="none" w:sz="0" w:space="0" w:color="auto"/>
                                    <w:bottom w:val="none" w:sz="0" w:space="0" w:color="auto"/>
                                    <w:right w:val="none" w:sz="0" w:space="0" w:color="auto"/>
                                  </w:divBdr>
                                  <w:divsChild>
                                    <w:div w:id="1691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869616">
      <w:bodyDiv w:val="1"/>
      <w:marLeft w:val="0"/>
      <w:marRight w:val="0"/>
      <w:marTop w:val="0"/>
      <w:marBottom w:val="0"/>
      <w:divBdr>
        <w:top w:val="none" w:sz="0" w:space="0" w:color="auto"/>
        <w:left w:val="none" w:sz="0" w:space="0" w:color="auto"/>
        <w:bottom w:val="none" w:sz="0" w:space="0" w:color="auto"/>
        <w:right w:val="none" w:sz="0" w:space="0" w:color="auto"/>
      </w:divBdr>
    </w:div>
    <w:div w:id="900486482">
      <w:bodyDiv w:val="1"/>
      <w:marLeft w:val="0"/>
      <w:marRight w:val="0"/>
      <w:marTop w:val="0"/>
      <w:marBottom w:val="0"/>
      <w:divBdr>
        <w:top w:val="none" w:sz="0" w:space="0" w:color="auto"/>
        <w:left w:val="none" w:sz="0" w:space="0" w:color="auto"/>
        <w:bottom w:val="none" w:sz="0" w:space="0" w:color="auto"/>
        <w:right w:val="none" w:sz="0" w:space="0" w:color="auto"/>
      </w:divBdr>
    </w:div>
    <w:div w:id="909117835">
      <w:bodyDiv w:val="1"/>
      <w:marLeft w:val="0"/>
      <w:marRight w:val="0"/>
      <w:marTop w:val="0"/>
      <w:marBottom w:val="0"/>
      <w:divBdr>
        <w:top w:val="none" w:sz="0" w:space="0" w:color="auto"/>
        <w:left w:val="none" w:sz="0" w:space="0" w:color="auto"/>
        <w:bottom w:val="none" w:sz="0" w:space="0" w:color="auto"/>
        <w:right w:val="none" w:sz="0" w:space="0" w:color="auto"/>
      </w:divBdr>
    </w:div>
    <w:div w:id="909341287">
      <w:bodyDiv w:val="1"/>
      <w:marLeft w:val="0"/>
      <w:marRight w:val="0"/>
      <w:marTop w:val="0"/>
      <w:marBottom w:val="0"/>
      <w:divBdr>
        <w:top w:val="none" w:sz="0" w:space="0" w:color="auto"/>
        <w:left w:val="none" w:sz="0" w:space="0" w:color="auto"/>
        <w:bottom w:val="none" w:sz="0" w:space="0" w:color="auto"/>
        <w:right w:val="none" w:sz="0" w:space="0" w:color="auto"/>
      </w:divBdr>
    </w:div>
    <w:div w:id="912397352">
      <w:bodyDiv w:val="1"/>
      <w:marLeft w:val="0"/>
      <w:marRight w:val="0"/>
      <w:marTop w:val="0"/>
      <w:marBottom w:val="0"/>
      <w:divBdr>
        <w:top w:val="none" w:sz="0" w:space="0" w:color="auto"/>
        <w:left w:val="none" w:sz="0" w:space="0" w:color="auto"/>
        <w:bottom w:val="none" w:sz="0" w:space="0" w:color="auto"/>
        <w:right w:val="none" w:sz="0" w:space="0" w:color="auto"/>
      </w:divBdr>
    </w:div>
    <w:div w:id="912398842">
      <w:bodyDiv w:val="1"/>
      <w:marLeft w:val="0"/>
      <w:marRight w:val="0"/>
      <w:marTop w:val="0"/>
      <w:marBottom w:val="0"/>
      <w:divBdr>
        <w:top w:val="none" w:sz="0" w:space="0" w:color="auto"/>
        <w:left w:val="none" w:sz="0" w:space="0" w:color="auto"/>
        <w:bottom w:val="none" w:sz="0" w:space="0" w:color="auto"/>
        <w:right w:val="none" w:sz="0" w:space="0" w:color="auto"/>
      </w:divBdr>
    </w:div>
    <w:div w:id="939218641">
      <w:bodyDiv w:val="1"/>
      <w:marLeft w:val="0"/>
      <w:marRight w:val="0"/>
      <w:marTop w:val="0"/>
      <w:marBottom w:val="0"/>
      <w:divBdr>
        <w:top w:val="none" w:sz="0" w:space="0" w:color="auto"/>
        <w:left w:val="none" w:sz="0" w:space="0" w:color="auto"/>
        <w:bottom w:val="none" w:sz="0" w:space="0" w:color="auto"/>
        <w:right w:val="none" w:sz="0" w:space="0" w:color="auto"/>
      </w:divBdr>
    </w:div>
    <w:div w:id="950819569">
      <w:bodyDiv w:val="1"/>
      <w:marLeft w:val="0"/>
      <w:marRight w:val="0"/>
      <w:marTop w:val="0"/>
      <w:marBottom w:val="0"/>
      <w:divBdr>
        <w:top w:val="none" w:sz="0" w:space="0" w:color="auto"/>
        <w:left w:val="none" w:sz="0" w:space="0" w:color="auto"/>
        <w:bottom w:val="none" w:sz="0" w:space="0" w:color="auto"/>
        <w:right w:val="none" w:sz="0" w:space="0" w:color="auto"/>
      </w:divBdr>
    </w:div>
    <w:div w:id="958416129">
      <w:bodyDiv w:val="1"/>
      <w:marLeft w:val="0"/>
      <w:marRight w:val="0"/>
      <w:marTop w:val="0"/>
      <w:marBottom w:val="0"/>
      <w:divBdr>
        <w:top w:val="none" w:sz="0" w:space="0" w:color="auto"/>
        <w:left w:val="none" w:sz="0" w:space="0" w:color="auto"/>
        <w:bottom w:val="none" w:sz="0" w:space="0" w:color="auto"/>
        <w:right w:val="none" w:sz="0" w:space="0" w:color="auto"/>
      </w:divBdr>
    </w:div>
    <w:div w:id="959920646">
      <w:bodyDiv w:val="1"/>
      <w:marLeft w:val="0"/>
      <w:marRight w:val="0"/>
      <w:marTop w:val="0"/>
      <w:marBottom w:val="0"/>
      <w:divBdr>
        <w:top w:val="none" w:sz="0" w:space="0" w:color="auto"/>
        <w:left w:val="none" w:sz="0" w:space="0" w:color="auto"/>
        <w:bottom w:val="none" w:sz="0" w:space="0" w:color="auto"/>
        <w:right w:val="none" w:sz="0" w:space="0" w:color="auto"/>
      </w:divBdr>
    </w:div>
    <w:div w:id="962078772">
      <w:bodyDiv w:val="1"/>
      <w:marLeft w:val="0"/>
      <w:marRight w:val="0"/>
      <w:marTop w:val="0"/>
      <w:marBottom w:val="0"/>
      <w:divBdr>
        <w:top w:val="none" w:sz="0" w:space="0" w:color="auto"/>
        <w:left w:val="none" w:sz="0" w:space="0" w:color="auto"/>
        <w:bottom w:val="none" w:sz="0" w:space="0" w:color="auto"/>
        <w:right w:val="none" w:sz="0" w:space="0" w:color="auto"/>
      </w:divBdr>
    </w:div>
    <w:div w:id="976764530">
      <w:bodyDiv w:val="1"/>
      <w:marLeft w:val="0"/>
      <w:marRight w:val="0"/>
      <w:marTop w:val="0"/>
      <w:marBottom w:val="0"/>
      <w:divBdr>
        <w:top w:val="none" w:sz="0" w:space="0" w:color="auto"/>
        <w:left w:val="none" w:sz="0" w:space="0" w:color="auto"/>
        <w:bottom w:val="none" w:sz="0" w:space="0" w:color="auto"/>
        <w:right w:val="none" w:sz="0" w:space="0" w:color="auto"/>
      </w:divBdr>
    </w:div>
    <w:div w:id="988634773">
      <w:bodyDiv w:val="1"/>
      <w:marLeft w:val="0"/>
      <w:marRight w:val="0"/>
      <w:marTop w:val="0"/>
      <w:marBottom w:val="0"/>
      <w:divBdr>
        <w:top w:val="none" w:sz="0" w:space="0" w:color="auto"/>
        <w:left w:val="none" w:sz="0" w:space="0" w:color="auto"/>
        <w:bottom w:val="none" w:sz="0" w:space="0" w:color="auto"/>
        <w:right w:val="none" w:sz="0" w:space="0" w:color="auto"/>
      </w:divBdr>
    </w:div>
    <w:div w:id="991637390">
      <w:bodyDiv w:val="1"/>
      <w:marLeft w:val="0"/>
      <w:marRight w:val="0"/>
      <w:marTop w:val="0"/>
      <w:marBottom w:val="0"/>
      <w:divBdr>
        <w:top w:val="none" w:sz="0" w:space="0" w:color="auto"/>
        <w:left w:val="none" w:sz="0" w:space="0" w:color="auto"/>
        <w:bottom w:val="none" w:sz="0" w:space="0" w:color="auto"/>
        <w:right w:val="none" w:sz="0" w:space="0" w:color="auto"/>
      </w:divBdr>
    </w:div>
    <w:div w:id="997923835">
      <w:bodyDiv w:val="1"/>
      <w:marLeft w:val="0"/>
      <w:marRight w:val="0"/>
      <w:marTop w:val="0"/>
      <w:marBottom w:val="0"/>
      <w:divBdr>
        <w:top w:val="none" w:sz="0" w:space="0" w:color="auto"/>
        <w:left w:val="none" w:sz="0" w:space="0" w:color="auto"/>
        <w:bottom w:val="none" w:sz="0" w:space="0" w:color="auto"/>
        <w:right w:val="none" w:sz="0" w:space="0" w:color="auto"/>
      </w:divBdr>
    </w:div>
    <w:div w:id="1008605495">
      <w:bodyDiv w:val="1"/>
      <w:marLeft w:val="0"/>
      <w:marRight w:val="0"/>
      <w:marTop w:val="0"/>
      <w:marBottom w:val="0"/>
      <w:divBdr>
        <w:top w:val="none" w:sz="0" w:space="0" w:color="auto"/>
        <w:left w:val="none" w:sz="0" w:space="0" w:color="auto"/>
        <w:bottom w:val="none" w:sz="0" w:space="0" w:color="auto"/>
        <w:right w:val="none" w:sz="0" w:space="0" w:color="auto"/>
      </w:divBdr>
    </w:div>
    <w:div w:id="1009061563">
      <w:bodyDiv w:val="1"/>
      <w:marLeft w:val="0"/>
      <w:marRight w:val="0"/>
      <w:marTop w:val="0"/>
      <w:marBottom w:val="0"/>
      <w:divBdr>
        <w:top w:val="none" w:sz="0" w:space="0" w:color="auto"/>
        <w:left w:val="none" w:sz="0" w:space="0" w:color="auto"/>
        <w:bottom w:val="none" w:sz="0" w:space="0" w:color="auto"/>
        <w:right w:val="none" w:sz="0" w:space="0" w:color="auto"/>
      </w:divBdr>
    </w:div>
    <w:div w:id="1057051740">
      <w:bodyDiv w:val="1"/>
      <w:marLeft w:val="0"/>
      <w:marRight w:val="0"/>
      <w:marTop w:val="0"/>
      <w:marBottom w:val="0"/>
      <w:divBdr>
        <w:top w:val="none" w:sz="0" w:space="0" w:color="auto"/>
        <w:left w:val="none" w:sz="0" w:space="0" w:color="auto"/>
        <w:bottom w:val="none" w:sz="0" w:space="0" w:color="auto"/>
        <w:right w:val="none" w:sz="0" w:space="0" w:color="auto"/>
      </w:divBdr>
    </w:div>
    <w:div w:id="1063679614">
      <w:bodyDiv w:val="1"/>
      <w:marLeft w:val="0"/>
      <w:marRight w:val="0"/>
      <w:marTop w:val="0"/>
      <w:marBottom w:val="0"/>
      <w:divBdr>
        <w:top w:val="none" w:sz="0" w:space="0" w:color="auto"/>
        <w:left w:val="none" w:sz="0" w:space="0" w:color="auto"/>
        <w:bottom w:val="none" w:sz="0" w:space="0" w:color="auto"/>
        <w:right w:val="none" w:sz="0" w:space="0" w:color="auto"/>
      </w:divBdr>
    </w:div>
    <w:div w:id="1112478664">
      <w:bodyDiv w:val="1"/>
      <w:marLeft w:val="0"/>
      <w:marRight w:val="0"/>
      <w:marTop w:val="0"/>
      <w:marBottom w:val="0"/>
      <w:divBdr>
        <w:top w:val="none" w:sz="0" w:space="0" w:color="auto"/>
        <w:left w:val="none" w:sz="0" w:space="0" w:color="auto"/>
        <w:bottom w:val="none" w:sz="0" w:space="0" w:color="auto"/>
        <w:right w:val="none" w:sz="0" w:space="0" w:color="auto"/>
      </w:divBdr>
    </w:div>
    <w:div w:id="1112671881">
      <w:bodyDiv w:val="1"/>
      <w:marLeft w:val="0"/>
      <w:marRight w:val="0"/>
      <w:marTop w:val="0"/>
      <w:marBottom w:val="0"/>
      <w:divBdr>
        <w:top w:val="none" w:sz="0" w:space="0" w:color="auto"/>
        <w:left w:val="none" w:sz="0" w:space="0" w:color="auto"/>
        <w:bottom w:val="none" w:sz="0" w:space="0" w:color="auto"/>
        <w:right w:val="none" w:sz="0" w:space="0" w:color="auto"/>
      </w:divBdr>
    </w:div>
    <w:div w:id="1144350298">
      <w:bodyDiv w:val="1"/>
      <w:marLeft w:val="0"/>
      <w:marRight w:val="0"/>
      <w:marTop w:val="0"/>
      <w:marBottom w:val="0"/>
      <w:divBdr>
        <w:top w:val="none" w:sz="0" w:space="0" w:color="auto"/>
        <w:left w:val="none" w:sz="0" w:space="0" w:color="auto"/>
        <w:bottom w:val="none" w:sz="0" w:space="0" w:color="auto"/>
        <w:right w:val="none" w:sz="0" w:space="0" w:color="auto"/>
      </w:divBdr>
    </w:div>
    <w:div w:id="1166289046">
      <w:bodyDiv w:val="1"/>
      <w:marLeft w:val="0"/>
      <w:marRight w:val="0"/>
      <w:marTop w:val="0"/>
      <w:marBottom w:val="0"/>
      <w:divBdr>
        <w:top w:val="none" w:sz="0" w:space="0" w:color="auto"/>
        <w:left w:val="none" w:sz="0" w:space="0" w:color="auto"/>
        <w:bottom w:val="none" w:sz="0" w:space="0" w:color="auto"/>
        <w:right w:val="none" w:sz="0" w:space="0" w:color="auto"/>
      </w:divBdr>
    </w:div>
    <w:div w:id="1211067838">
      <w:bodyDiv w:val="1"/>
      <w:marLeft w:val="0"/>
      <w:marRight w:val="0"/>
      <w:marTop w:val="0"/>
      <w:marBottom w:val="0"/>
      <w:divBdr>
        <w:top w:val="none" w:sz="0" w:space="0" w:color="auto"/>
        <w:left w:val="none" w:sz="0" w:space="0" w:color="auto"/>
        <w:bottom w:val="none" w:sz="0" w:space="0" w:color="auto"/>
        <w:right w:val="none" w:sz="0" w:space="0" w:color="auto"/>
      </w:divBdr>
    </w:div>
    <w:div w:id="1216624277">
      <w:bodyDiv w:val="1"/>
      <w:marLeft w:val="0"/>
      <w:marRight w:val="0"/>
      <w:marTop w:val="0"/>
      <w:marBottom w:val="0"/>
      <w:divBdr>
        <w:top w:val="none" w:sz="0" w:space="0" w:color="auto"/>
        <w:left w:val="none" w:sz="0" w:space="0" w:color="auto"/>
        <w:bottom w:val="none" w:sz="0" w:space="0" w:color="auto"/>
        <w:right w:val="none" w:sz="0" w:space="0" w:color="auto"/>
      </w:divBdr>
    </w:div>
    <w:div w:id="1250427158">
      <w:bodyDiv w:val="1"/>
      <w:marLeft w:val="0"/>
      <w:marRight w:val="0"/>
      <w:marTop w:val="0"/>
      <w:marBottom w:val="0"/>
      <w:divBdr>
        <w:top w:val="none" w:sz="0" w:space="0" w:color="auto"/>
        <w:left w:val="none" w:sz="0" w:space="0" w:color="auto"/>
        <w:bottom w:val="none" w:sz="0" w:space="0" w:color="auto"/>
        <w:right w:val="none" w:sz="0" w:space="0" w:color="auto"/>
      </w:divBdr>
    </w:div>
    <w:div w:id="1251819432">
      <w:bodyDiv w:val="1"/>
      <w:marLeft w:val="0"/>
      <w:marRight w:val="0"/>
      <w:marTop w:val="0"/>
      <w:marBottom w:val="0"/>
      <w:divBdr>
        <w:top w:val="none" w:sz="0" w:space="0" w:color="auto"/>
        <w:left w:val="none" w:sz="0" w:space="0" w:color="auto"/>
        <w:bottom w:val="none" w:sz="0" w:space="0" w:color="auto"/>
        <w:right w:val="none" w:sz="0" w:space="0" w:color="auto"/>
      </w:divBdr>
    </w:div>
    <w:div w:id="1278953993">
      <w:bodyDiv w:val="1"/>
      <w:marLeft w:val="0"/>
      <w:marRight w:val="0"/>
      <w:marTop w:val="0"/>
      <w:marBottom w:val="0"/>
      <w:divBdr>
        <w:top w:val="none" w:sz="0" w:space="0" w:color="auto"/>
        <w:left w:val="none" w:sz="0" w:space="0" w:color="auto"/>
        <w:bottom w:val="none" w:sz="0" w:space="0" w:color="auto"/>
        <w:right w:val="none" w:sz="0" w:space="0" w:color="auto"/>
      </w:divBdr>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
    <w:div w:id="1358307564">
      <w:bodyDiv w:val="1"/>
      <w:marLeft w:val="0"/>
      <w:marRight w:val="0"/>
      <w:marTop w:val="0"/>
      <w:marBottom w:val="0"/>
      <w:divBdr>
        <w:top w:val="none" w:sz="0" w:space="0" w:color="auto"/>
        <w:left w:val="none" w:sz="0" w:space="0" w:color="auto"/>
        <w:bottom w:val="none" w:sz="0" w:space="0" w:color="auto"/>
        <w:right w:val="none" w:sz="0" w:space="0" w:color="auto"/>
      </w:divBdr>
    </w:div>
    <w:div w:id="1385913798">
      <w:bodyDiv w:val="1"/>
      <w:marLeft w:val="0"/>
      <w:marRight w:val="0"/>
      <w:marTop w:val="0"/>
      <w:marBottom w:val="0"/>
      <w:divBdr>
        <w:top w:val="none" w:sz="0" w:space="0" w:color="auto"/>
        <w:left w:val="none" w:sz="0" w:space="0" w:color="auto"/>
        <w:bottom w:val="none" w:sz="0" w:space="0" w:color="auto"/>
        <w:right w:val="none" w:sz="0" w:space="0" w:color="auto"/>
      </w:divBdr>
    </w:div>
    <w:div w:id="1451900318">
      <w:bodyDiv w:val="1"/>
      <w:marLeft w:val="0"/>
      <w:marRight w:val="0"/>
      <w:marTop w:val="0"/>
      <w:marBottom w:val="0"/>
      <w:divBdr>
        <w:top w:val="none" w:sz="0" w:space="0" w:color="auto"/>
        <w:left w:val="none" w:sz="0" w:space="0" w:color="auto"/>
        <w:bottom w:val="none" w:sz="0" w:space="0" w:color="auto"/>
        <w:right w:val="none" w:sz="0" w:space="0" w:color="auto"/>
      </w:divBdr>
    </w:div>
    <w:div w:id="1454009632">
      <w:bodyDiv w:val="1"/>
      <w:marLeft w:val="0"/>
      <w:marRight w:val="0"/>
      <w:marTop w:val="0"/>
      <w:marBottom w:val="0"/>
      <w:divBdr>
        <w:top w:val="none" w:sz="0" w:space="0" w:color="auto"/>
        <w:left w:val="none" w:sz="0" w:space="0" w:color="auto"/>
        <w:bottom w:val="none" w:sz="0" w:space="0" w:color="auto"/>
        <w:right w:val="none" w:sz="0" w:space="0" w:color="auto"/>
      </w:divBdr>
    </w:div>
    <w:div w:id="1523937369">
      <w:bodyDiv w:val="1"/>
      <w:marLeft w:val="0"/>
      <w:marRight w:val="0"/>
      <w:marTop w:val="0"/>
      <w:marBottom w:val="0"/>
      <w:divBdr>
        <w:top w:val="none" w:sz="0" w:space="0" w:color="auto"/>
        <w:left w:val="none" w:sz="0" w:space="0" w:color="auto"/>
        <w:bottom w:val="none" w:sz="0" w:space="0" w:color="auto"/>
        <w:right w:val="none" w:sz="0" w:space="0" w:color="auto"/>
      </w:divBdr>
    </w:div>
    <w:div w:id="1561938798">
      <w:bodyDiv w:val="1"/>
      <w:marLeft w:val="0"/>
      <w:marRight w:val="0"/>
      <w:marTop w:val="0"/>
      <w:marBottom w:val="0"/>
      <w:divBdr>
        <w:top w:val="none" w:sz="0" w:space="0" w:color="auto"/>
        <w:left w:val="none" w:sz="0" w:space="0" w:color="auto"/>
        <w:bottom w:val="none" w:sz="0" w:space="0" w:color="auto"/>
        <w:right w:val="none" w:sz="0" w:space="0" w:color="auto"/>
      </w:divBdr>
    </w:div>
    <w:div w:id="1566792821">
      <w:bodyDiv w:val="1"/>
      <w:marLeft w:val="0"/>
      <w:marRight w:val="0"/>
      <w:marTop w:val="0"/>
      <w:marBottom w:val="0"/>
      <w:divBdr>
        <w:top w:val="none" w:sz="0" w:space="0" w:color="auto"/>
        <w:left w:val="none" w:sz="0" w:space="0" w:color="auto"/>
        <w:bottom w:val="none" w:sz="0" w:space="0" w:color="auto"/>
        <w:right w:val="none" w:sz="0" w:space="0" w:color="auto"/>
      </w:divBdr>
    </w:div>
    <w:div w:id="1588999119">
      <w:bodyDiv w:val="1"/>
      <w:marLeft w:val="0"/>
      <w:marRight w:val="0"/>
      <w:marTop w:val="0"/>
      <w:marBottom w:val="0"/>
      <w:divBdr>
        <w:top w:val="none" w:sz="0" w:space="0" w:color="auto"/>
        <w:left w:val="none" w:sz="0" w:space="0" w:color="auto"/>
        <w:bottom w:val="none" w:sz="0" w:space="0" w:color="auto"/>
        <w:right w:val="none" w:sz="0" w:space="0" w:color="auto"/>
      </w:divBdr>
    </w:div>
    <w:div w:id="1623607743">
      <w:bodyDiv w:val="1"/>
      <w:marLeft w:val="0"/>
      <w:marRight w:val="0"/>
      <w:marTop w:val="0"/>
      <w:marBottom w:val="0"/>
      <w:divBdr>
        <w:top w:val="none" w:sz="0" w:space="0" w:color="auto"/>
        <w:left w:val="none" w:sz="0" w:space="0" w:color="auto"/>
        <w:bottom w:val="none" w:sz="0" w:space="0" w:color="auto"/>
        <w:right w:val="none" w:sz="0" w:space="0" w:color="auto"/>
      </w:divBdr>
    </w:div>
    <w:div w:id="1680430200">
      <w:bodyDiv w:val="1"/>
      <w:marLeft w:val="0"/>
      <w:marRight w:val="0"/>
      <w:marTop w:val="0"/>
      <w:marBottom w:val="0"/>
      <w:divBdr>
        <w:top w:val="none" w:sz="0" w:space="0" w:color="auto"/>
        <w:left w:val="none" w:sz="0" w:space="0" w:color="auto"/>
        <w:bottom w:val="none" w:sz="0" w:space="0" w:color="auto"/>
        <w:right w:val="none" w:sz="0" w:space="0" w:color="auto"/>
      </w:divBdr>
    </w:div>
    <w:div w:id="1688483544">
      <w:bodyDiv w:val="1"/>
      <w:marLeft w:val="0"/>
      <w:marRight w:val="0"/>
      <w:marTop w:val="0"/>
      <w:marBottom w:val="0"/>
      <w:divBdr>
        <w:top w:val="none" w:sz="0" w:space="0" w:color="auto"/>
        <w:left w:val="none" w:sz="0" w:space="0" w:color="auto"/>
        <w:bottom w:val="none" w:sz="0" w:space="0" w:color="auto"/>
        <w:right w:val="none" w:sz="0" w:space="0" w:color="auto"/>
      </w:divBdr>
    </w:div>
    <w:div w:id="1770469431">
      <w:bodyDiv w:val="1"/>
      <w:marLeft w:val="0"/>
      <w:marRight w:val="0"/>
      <w:marTop w:val="0"/>
      <w:marBottom w:val="0"/>
      <w:divBdr>
        <w:top w:val="none" w:sz="0" w:space="0" w:color="auto"/>
        <w:left w:val="none" w:sz="0" w:space="0" w:color="auto"/>
        <w:bottom w:val="none" w:sz="0" w:space="0" w:color="auto"/>
        <w:right w:val="none" w:sz="0" w:space="0" w:color="auto"/>
      </w:divBdr>
    </w:div>
    <w:div w:id="1849513626">
      <w:bodyDiv w:val="1"/>
      <w:marLeft w:val="0"/>
      <w:marRight w:val="0"/>
      <w:marTop w:val="0"/>
      <w:marBottom w:val="0"/>
      <w:divBdr>
        <w:top w:val="none" w:sz="0" w:space="0" w:color="auto"/>
        <w:left w:val="none" w:sz="0" w:space="0" w:color="auto"/>
        <w:bottom w:val="none" w:sz="0" w:space="0" w:color="auto"/>
        <w:right w:val="none" w:sz="0" w:space="0" w:color="auto"/>
      </w:divBdr>
    </w:div>
    <w:div w:id="1850830620">
      <w:bodyDiv w:val="1"/>
      <w:marLeft w:val="0"/>
      <w:marRight w:val="0"/>
      <w:marTop w:val="0"/>
      <w:marBottom w:val="0"/>
      <w:divBdr>
        <w:top w:val="none" w:sz="0" w:space="0" w:color="auto"/>
        <w:left w:val="none" w:sz="0" w:space="0" w:color="auto"/>
        <w:bottom w:val="none" w:sz="0" w:space="0" w:color="auto"/>
        <w:right w:val="none" w:sz="0" w:space="0" w:color="auto"/>
      </w:divBdr>
    </w:div>
    <w:div w:id="1882284198">
      <w:bodyDiv w:val="1"/>
      <w:marLeft w:val="0"/>
      <w:marRight w:val="0"/>
      <w:marTop w:val="0"/>
      <w:marBottom w:val="0"/>
      <w:divBdr>
        <w:top w:val="none" w:sz="0" w:space="0" w:color="auto"/>
        <w:left w:val="none" w:sz="0" w:space="0" w:color="auto"/>
        <w:bottom w:val="none" w:sz="0" w:space="0" w:color="auto"/>
        <w:right w:val="none" w:sz="0" w:space="0" w:color="auto"/>
      </w:divBdr>
    </w:div>
    <w:div w:id="1893612099">
      <w:bodyDiv w:val="1"/>
      <w:marLeft w:val="0"/>
      <w:marRight w:val="0"/>
      <w:marTop w:val="0"/>
      <w:marBottom w:val="0"/>
      <w:divBdr>
        <w:top w:val="none" w:sz="0" w:space="0" w:color="auto"/>
        <w:left w:val="none" w:sz="0" w:space="0" w:color="auto"/>
        <w:bottom w:val="none" w:sz="0" w:space="0" w:color="auto"/>
        <w:right w:val="none" w:sz="0" w:space="0" w:color="auto"/>
      </w:divBdr>
    </w:div>
    <w:div w:id="1907450119">
      <w:bodyDiv w:val="1"/>
      <w:marLeft w:val="0"/>
      <w:marRight w:val="0"/>
      <w:marTop w:val="0"/>
      <w:marBottom w:val="0"/>
      <w:divBdr>
        <w:top w:val="none" w:sz="0" w:space="0" w:color="auto"/>
        <w:left w:val="none" w:sz="0" w:space="0" w:color="auto"/>
        <w:bottom w:val="none" w:sz="0" w:space="0" w:color="auto"/>
        <w:right w:val="none" w:sz="0" w:space="0" w:color="auto"/>
      </w:divBdr>
    </w:div>
    <w:div w:id="1921982064">
      <w:bodyDiv w:val="1"/>
      <w:marLeft w:val="0"/>
      <w:marRight w:val="0"/>
      <w:marTop w:val="0"/>
      <w:marBottom w:val="0"/>
      <w:divBdr>
        <w:top w:val="none" w:sz="0" w:space="0" w:color="auto"/>
        <w:left w:val="none" w:sz="0" w:space="0" w:color="auto"/>
        <w:bottom w:val="none" w:sz="0" w:space="0" w:color="auto"/>
        <w:right w:val="none" w:sz="0" w:space="0" w:color="auto"/>
      </w:divBdr>
    </w:div>
    <w:div w:id="1923642871">
      <w:bodyDiv w:val="1"/>
      <w:marLeft w:val="0"/>
      <w:marRight w:val="0"/>
      <w:marTop w:val="0"/>
      <w:marBottom w:val="0"/>
      <w:divBdr>
        <w:top w:val="none" w:sz="0" w:space="0" w:color="auto"/>
        <w:left w:val="none" w:sz="0" w:space="0" w:color="auto"/>
        <w:bottom w:val="none" w:sz="0" w:space="0" w:color="auto"/>
        <w:right w:val="none" w:sz="0" w:space="0" w:color="auto"/>
      </w:divBdr>
    </w:div>
    <w:div w:id="1924677259">
      <w:bodyDiv w:val="1"/>
      <w:marLeft w:val="0"/>
      <w:marRight w:val="0"/>
      <w:marTop w:val="0"/>
      <w:marBottom w:val="0"/>
      <w:divBdr>
        <w:top w:val="none" w:sz="0" w:space="0" w:color="auto"/>
        <w:left w:val="none" w:sz="0" w:space="0" w:color="auto"/>
        <w:bottom w:val="none" w:sz="0" w:space="0" w:color="auto"/>
        <w:right w:val="none" w:sz="0" w:space="0" w:color="auto"/>
      </w:divBdr>
    </w:div>
    <w:div w:id="1925995716">
      <w:bodyDiv w:val="1"/>
      <w:marLeft w:val="0"/>
      <w:marRight w:val="0"/>
      <w:marTop w:val="0"/>
      <w:marBottom w:val="0"/>
      <w:divBdr>
        <w:top w:val="none" w:sz="0" w:space="0" w:color="auto"/>
        <w:left w:val="none" w:sz="0" w:space="0" w:color="auto"/>
        <w:bottom w:val="none" w:sz="0" w:space="0" w:color="auto"/>
        <w:right w:val="none" w:sz="0" w:space="0" w:color="auto"/>
      </w:divBdr>
    </w:div>
    <w:div w:id="1938899084">
      <w:bodyDiv w:val="1"/>
      <w:marLeft w:val="0"/>
      <w:marRight w:val="0"/>
      <w:marTop w:val="0"/>
      <w:marBottom w:val="0"/>
      <w:divBdr>
        <w:top w:val="none" w:sz="0" w:space="0" w:color="auto"/>
        <w:left w:val="none" w:sz="0" w:space="0" w:color="auto"/>
        <w:bottom w:val="none" w:sz="0" w:space="0" w:color="auto"/>
        <w:right w:val="none" w:sz="0" w:space="0" w:color="auto"/>
      </w:divBdr>
    </w:div>
    <w:div w:id="1960214186">
      <w:bodyDiv w:val="1"/>
      <w:marLeft w:val="0"/>
      <w:marRight w:val="0"/>
      <w:marTop w:val="0"/>
      <w:marBottom w:val="0"/>
      <w:divBdr>
        <w:top w:val="none" w:sz="0" w:space="0" w:color="auto"/>
        <w:left w:val="none" w:sz="0" w:space="0" w:color="auto"/>
        <w:bottom w:val="none" w:sz="0" w:space="0" w:color="auto"/>
        <w:right w:val="none" w:sz="0" w:space="0" w:color="auto"/>
      </w:divBdr>
    </w:div>
    <w:div w:id="1970551506">
      <w:bodyDiv w:val="1"/>
      <w:marLeft w:val="0"/>
      <w:marRight w:val="0"/>
      <w:marTop w:val="0"/>
      <w:marBottom w:val="0"/>
      <w:divBdr>
        <w:top w:val="none" w:sz="0" w:space="0" w:color="auto"/>
        <w:left w:val="none" w:sz="0" w:space="0" w:color="auto"/>
        <w:bottom w:val="none" w:sz="0" w:space="0" w:color="auto"/>
        <w:right w:val="none" w:sz="0" w:space="0" w:color="auto"/>
      </w:divBdr>
    </w:div>
    <w:div w:id="1972130129">
      <w:bodyDiv w:val="1"/>
      <w:marLeft w:val="0"/>
      <w:marRight w:val="0"/>
      <w:marTop w:val="0"/>
      <w:marBottom w:val="0"/>
      <w:divBdr>
        <w:top w:val="none" w:sz="0" w:space="0" w:color="auto"/>
        <w:left w:val="none" w:sz="0" w:space="0" w:color="auto"/>
        <w:bottom w:val="none" w:sz="0" w:space="0" w:color="auto"/>
        <w:right w:val="none" w:sz="0" w:space="0" w:color="auto"/>
      </w:divBdr>
    </w:div>
    <w:div w:id="1991442749">
      <w:bodyDiv w:val="1"/>
      <w:marLeft w:val="0"/>
      <w:marRight w:val="0"/>
      <w:marTop w:val="0"/>
      <w:marBottom w:val="0"/>
      <w:divBdr>
        <w:top w:val="none" w:sz="0" w:space="0" w:color="auto"/>
        <w:left w:val="none" w:sz="0" w:space="0" w:color="auto"/>
        <w:bottom w:val="none" w:sz="0" w:space="0" w:color="auto"/>
        <w:right w:val="none" w:sz="0" w:space="0" w:color="auto"/>
      </w:divBdr>
    </w:div>
    <w:div w:id="2021931111">
      <w:bodyDiv w:val="1"/>
      <w:marLeft w:val="0"/>
      <w:marRight w:val="0"/>
      <w:marTop w:val="0"/>
      <w:marBottom w:val="0"/>
      <w:divBdr>
        <w:top w:val="none" w:sz="0" w:space="0" w:color="auto"/>
        <w:left w:val="none" w:sz="0" w:space="0" w:color="auto"/>
        <w:bottom w:val="none" w:sz="0" w:space="0" w:color="auto"/>
        <w:right w:val="none" w:sz="0" w:space="0" w:color="auto"/>
      </w:divBdr>
    </w:div>
    <w:div w:id="2071801174">
      <w:bodyDiv w:val="1"/>
      <w:marLeft w:val="0"/>
      <w:marRight w:val="0"/>
      <w:marTop w:val="0"/>
      <w:marBottom w:val="0"/>
      <w:divBdr>
        <w:top w:val="none" w:sz="0" w:space="0" w:color="auto"/>
        <w:left w:val="none" w:sz="0" w:space="0" w:color="auto"/>
        <w:bottom w:val="none" w:sz="0" w:space="0" w:color="auto"/>
        <w:right w:val="none" w:sz="0" w:space="0" w:color="auto"/>
      </w:divBdr>
    </w:div>
    <w:div w:id="2077970762">
      <w:bodyDiv w:val="1"/>
      <w:marLeft w:val="0"/>
      <w:marRight w:val="0"/>
      <w:marTop w:val="0"/>
      <w:marBottom w:val="0"/>
      <w:divBdr>
        <w:top w:val="none" w:sz="0" w:space="0" w:color="auto"/>
        <w:left w:val="none" w:sz="0" w:space="0" w:color="auto"/>
        <w:bottom w:val="none" w:sz="0" w:space="0" w:color="auto"/>
        <w:right w:val="none" w:sz="0" w:space="0" w:color="auto"/>
      </w:divBdr>
    </w:div>
    <w:div w:id="2084524521">
      <w:bodyDiv w:val="1"/>
      <w:marLeft w:val="0"/>
      <w:marRight w:val="0"/>
      <w:marTop w:val="0"/>
      <w:marBottom w:val="0"/>
      <w:divBdr>
        <w:top w:val="none" w:sz="0" w:space="0" w:color="auto"/>
        <w:left w:val="none" w:sz="0" w:space="0" w:color="auto"/>
        <w:bottom w:val="none" w:sz="0" w:space="0" w:color="auto"/>
        <w:right w:val="none" w:sz="0" w:space="0" w:color="auto"/>
      </w:divBdr>
    </w:div>
    <w:div w:id="21214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s://www.mkd.gov.lv/lv/informativie-material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lickovska02\Downloads\Piespriestas_un_atgutas_summas_grafik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explosion val="2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EC-4D58-ABE2-3AFF47E4C98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EC-4D58-ABE2-3AFF47E4C98E}"/>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D4E9355-7D70-4C5C-A2A1-91AD66EFB75E}" type="CATEGORYNAME">
                      <a:rPr lang="en-US"/>
                      <a:pPr>
                        <a:defRPr/>
                      </a:pPr>
                      <a:t>[CATEGORY NAME]</a:t>
                    </a:fld>
                    <a:r>
                      <a:rPr lang="en-US" baseline="0"/>
                      <a:t> </a:t>
                    </a:r>
                    <a:fld id="{DC6811BC-CF9A-4C66-BE50-5BE872DED973}" type="VALUE">
                      <a:rPr lang="en-US" baseline="0"/>
                      <a:pPr>
                        <a:defRPr/>
                      </a:pPr>
                      <a:t>[VALUE]</a:t>
                    </a:fld>
                    <a:r>
                      <a:rPr lang="en-US" baseline="0"/>
                      <a:t>; </a:t>
                    </a:r>
                    <a:fld id="{9B50106E-470A-444C-8894-EB70C5AD4CE7}"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EC-4D58-ABE2-3AFF47E4C98E}"/>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F77F145-106E-4E30-8B30-B7AA585F57D8}" type="CATEGORYNAME">
                      <a:rPr lang="en-US"/>
                      <a:pPr>
                        <a:defRPr>
                          <a:solidFill>
                            <a:schemeClr val="accent1"/>
                          </a:solidFill>
                        </a:defRPr>
                      </a:pPr>
                      <a:t>[CATEGORY NAME]</a:t>
                    </a:fld>
                    <a:r>
                      <a:rPr lang="en-US" baseline="0"/>
                      <a:t> </a:t>
                    </a:r>
                    <a:fld id="{17AC1342-19FC-41CB-B319-8429AD52FB74}" type="VALUE">
                      <a:rPr lang="en-US" baseline="0"/>
                      <a:pPr>
                        <a:defRPr>
                          <a:solidFill>
                            <a:schemeClr val="accent1"/>
                          </a:solidFill>
                        </a:defRPr>
                      </a:pPr>
                      <a:t>[VALUE]</a:t>
                    </a:fld>
                    <a:r>
                      <a:rPr lang="en-US" baseline="0"/>
                      <a:t>; </a:t>
                    </a:r>
                    <a:fld id="{D7043515-7A11-4E78-BE68-CE01E6C7732D}"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EC-4D58-ABE2-3AFF47E4C98E}"/>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Lapa1!$A$2:$A$3</c:f>
              <c:strCache>
                <c:ptCount val="2"/>
                <c:pt idx="0">
                  <c:v>MPP</c:v>
                </c:pt>
                <c:pt idx="1">
                  <c:v>ZPMN</c:v>
                </c:pt>
              </c:strCache>
            </c:strRef>
          </c:cat>
          <c:val>
            <c:numRef>
              <c:f>Lapa1!$B$2:$B$3</c:f>
              <c:numCache>
                <c:formatCode>0</c:formatCode>
                <c:ptCount val="2"/>
                <c:pt idx="0">
                  <c:v>127</c:v>
                </c:pt>
                <c:pt idx="1">
                  <c:v>114</c:v>
                </c:pt>
              </c:numCache>
            </c:numRef>
          </c:val>
          <c:extLst>
            <c:ext xmlns:c16="http://schemas.microsoft.com/office/drawing/2014/chart" uri="{C3380CC4-5D6E-409C-BE32-E72D297353CC}">
              <c16:uniqueId val="{00000004-C5EC-4D58-ABE2-3AFF47E4C98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520267225255648E-2"/>
          <c:y val="0.12571816453977736"/>
          <c:w val="0.85289265149888693"/>
          <c:h val="0.77729930310435336"/>
        </c:manualLayout>
      </c:layout>
      <c:pie3DChart>
        <c:varyColors val="1"/>
        <c:ser>
          <c:idx val="0"/>
          <c:order val="0"/>
          <c:tx>
            <c:strRef>
              <c:f>Lapa1!$B$1</c:f>
              <c:strCache>
                <c:ptCount val="1"/>
                <c:pt idx="0">
                  <c:v>Kolonna1</c:v>
                </c:pt>
              </c:strCache>
            </c:strRef>
          </c:tx>
          <c:dPt>
            <c:idx val="0"/>
            <c:bubble3D val="0"/>
            <c:explosion val="2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0D5-4719-AC6F-89DAF6F08F2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0D5-4719-AC6F-89DAF6F08F2C}"/>
              </c:ext>
            </c:extLst>
          </c:dPt>
          <c:dLbls>
            <c:dLbl>
              <c:idx val="0"/>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D45FD80C-3149-4EB7-AE8E-C37AC598FB71}" type="CATEGORYNAME">
                      <a:rPr lang="en-US"/>
                      <a:pPr>
                        <a:defRPr/>
                      </a:pPr>
                      <a:t>[CATEGORY NAME]</a:t>
                    </a:fld>
                    <a:endParaRPr lang="en-US" baseline="0"/>
                  </a:p>
                  <a:p>
                    <a:pPr>
                      <a:defRPr/>
                    </a:pPr>
                    <a:fld id="{911B5AA8-BD03-417A-9D92-7C05CF41E9C9}" type="VALUE">
                      <a:rPr lang="en-US" baseline="0"/>
                      <a:pPr>
                        <a:defRPr/>
                      </a:pPr>
                      <a:t>[VALUE]</a:t>
                    </a:fld>
                    <a:r>
                      <a:rPr lang="en-US" baseline="0"/>
                      <a:t>; </a:t>
                    </a:r>
                    <a:fld id="{F045A45E-BE73-401C-8BB7-AED5977FA57F}"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layout>
                    <c:manualLayout>
                      <c:w val="0.22986630511121434"/>
                      <c:h val="0.35486898883402279"/>
                    </c:manualLayout>
                  </c15:layout>
                  <c15:dlblFieldTable/>
                  <c15:showDataLabelsRange val="0"/>
                </c:ext>
                <c:ext xmlns:c16="http://schemas.microsoft.com/office/drawing/2014/chart" uri="{C3380CC4-5D6E-409C-BE32-E72D297353CC}">
                  <c16:uniqueId val="{00000001-80D5-4719-AC6F-89DAF6F08F2C}"/>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A498DF6-F664-464E-90CD-4F2689D5C5AA}" type="CATEGORYNAME">
                      <a:rPr lang="en-US"/>
                      <a:pPr>
                        <a:defRPr>
                          <a:solidFill>
                            <a:schemeClr val="accent1"/>
                          </a:solidFill>
                        </a:defRPr>
                      </a:pPr>
                      <a:t>[CATEGORY NAME]</a:t>
                    </a:fld>
                    <a:endParaRPr lang="en-US" baseline="0"/>
                  </a:p>
                  <a:p>
                    <a:pPr>
                      <a:defRPr>
                        <a:solidFill>
                          <a:schemeClr val="accent1"/>
                        </a:solidFill>
                      </a:defRPr>
                    </a:pPr>
                    <a:r>
                      <a:rPr lang="en-US" baseline="0"/>
                      <a:t> </a:t>
                    </a:r>
                    <a:fld id="{268F76B1-073C-4615-A53E-8F689603E963}" type="VALUE">
                      <a:rPr lang="en-US" baseline="0"/>
                      <a:pPr>
                        <a:defRPr>
                          <a:solidFill>
                            <a:schemeClr val="accent1"/>
                          </a:solidFill>
                        </a:defRPr>
                      </a:pPr>
                      <a:t>[VALUE]</a:t>
                    </a:fld>
                    <a:r>
                      <a:rPr lang="en-US" baseline="0"/>
                      <a:t>; </a:t>
                    </a:r>
                    <a:fld id="{349EE3BE-E0AB-44A1-8BBA-B07CE287AE7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0D5-4719-AC6F-89DAF6F08F2C}"/>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Lapa1!$A$2:$A$3</c:f>
              <c:strCache>
                <c:ptCount val="2"/>
                <c:pt idx="0">
                  <c:v>Prasības nav celtas</c:v>
                </c:pt>
                <c:pt idx="1">
                  <c:v>Administrators cēla prasību</c:v>
                </c:pt>
              </c:strCache>
            </c:strRef>
          </c:cat>
          <c:val>
            <c:numRef>
              <c:f>Lapa1!$B$2:$B$3</c:f>
              <c:numCache>
                <c:formatCode>0</c:formatCode>
                <c:ptCount val="2"/>
                <c:pt idx="0">
                  <c:v>167</c:v>
                </c:pt>
                <c:pt idx="1">
                  <c:v>74</c:v>
                </c:pt>
              </c:numCache>
            </c:numRef>
          </c:val>
          <c:extLst>
            <c:ext xmlns:c16="http://schemas.microsoft.com/office/drawing/2014/chart" uri="{C3380CC4-5D6E-409C-BE32-E72D297353CC}">
              <c16:uniqueId val="{00000004-80D5-4719-AC6F-89DAF6F08F2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08275817374678E-2"/>
          <c:y val="0.2248292068184618"/>
          <c:w val="0.9375674317306083"/>
          <c:h val="0.59551031121109865"/>
        </c:manualLayout>
      </c:layout>
      <c:pie3DChart>
        <c:varyColors val="1"/>
        <c:ser>
          <c:idx val="0"/>
          <c:order val="0"/>
          <c:tx>
            <c:strRef>
              <c:f>Lapa1!$B$1</c:f>
              <c:strCache>
                <c:ptCount val="1"/>
                <c:pt idx="0">
                  <c:v>Kolonna1</c:v>
                </c:pt>
              </c:strCache>
            </c:strRef>
          </c:tx>
          <c:explosion val="31"/>
          <c:dPt>
            <c:idx val="0"/>
            <c:bubble3D val="0"/>
            <c:explosion val="4"/>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7C1-4063-8C0A-0C355B74628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7C1-4063-8C0A-0C355B74628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E27F-4A22-9DC3-FAA6E8F2F12F}"/>
              </c:ext>
            </c:extLst>
          </c:dPt>
          <c:dLbls>
            <c:dLbl>
              <c:idx val="0"/>
              <c:layout>
                <c:manualLayout>
                  <c:x val="2.9845024558652077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42E0D3A-D995-446D-BF73-D9FA118C4FDF}" type="CATEGORYNAME">
                      <a:rPr lang="en-US"/>
                      <a:pPr>
                        <a:defRPr/>
                      </a:pPr>
                      <a:t>[CATEGORY NAME]</a:t>
                    </a:fld>
                    <a:endParaRPr lang="en-US" baseline="0"/>
                  </a:p>
                  <a:p>
                    <a:pPr>
                      <a:defRPr/>
                    </a:pPr>
                    <a:r>
                      <a:rPr lang="en-US" baseline="0"/>
                      <a:t> </a:t>
                    </a:r>
                    <a:fld id="{9033E85C-8376-4F4F-90C8-FE6A9C000935}" type="VALUE">
                      <a:rPr lang="en-US" baseline="0"/>
                      <a:pPr>
                        <a:defRPr/>
                      </a:pPr>
                      <a:t>[VALUE]</a:t>
                    </a:fld>
                    <a:r>
                      <a:rPr lang="en-US" baseline="0"/>
                      <a:t>; </a:t>
                    </a:r>
                    <a:fld id="{5DA88F2C-AE76-4FAB-8FBF-320F945633D0}"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4624113475177306"/>
                      <c:h val="0.24676190476190477"/>
                    </c:manualLayout>
                  </c15:layout>
                  <c15:dlblFieldTable/>
                  <c15:showDataLabelsRange val="0"/>
                </c:ext>
                <c:ext xmlns:c16="http://schemas.microsoft.com/office/drawing/2014/chart" uri="{C3380CC4-5D6E-409C-BE32-E72D297353CC}">
                  <c16:uniqueId val="{00000001-57C1-4063-8C0A-0C355B746280}"/>
                </c:ext>
              </c:extLst>
            </c:dLbl>
            <c:dLbl>
              <c:idx val="1"/>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A37ABA74-4EA3-4319-B672-E85502CA281D}" type="CATEGORYNAME">
                      <a:rPr lang="en-US"/>
                      <a:pPr>
                        <a:defRPr>
                          <a:solidFill>
                            <a:schemeClr val="accent1"/>
                          </a:solidFill>
                        </a:defRPr>
                      </a:pPr>
                      <a:t>[CATEGORY NAME]</a:t>
                    </a:fld>
                    <a:endParaRPr lang="en-US"/>
                  </a:p>
                  <a:p>
                    <a:pPr>
                      <a:defRPr>
                        <a:solidFill>
                          <a:schemeClr val="accent1"/>
                        </a:solidFill>
                      </a:defRPr>
                    </a:pPr>
                    <a:r>
                      <a:rPr lang="en-US" baseline="0"/>
                      <a:t> </a:t>
                    </a:r>
                    <a:fld id="{5EE9510E-15A0-4F7B-BF58-EDE58595DCFE}" type="VALUE">
                      <a:rPr lang="en-US" baseline="0"/>
                      <a:pPr>
                        <a:defRPr>
                          <a:solidFill>
                            <a:schemeClr val="accent1"/>
                          </a:solidFill>
                        </a:defRPr>
                      </a:pPr>
                      <a:t>[VALUE]</a:t>
                    </a:fld>
                    <a:r>
                      <a:rPr lang="en-US" baseline="0"/>
                      <a:t>; </a:t>
                    </a:r>
                    <a:fld id="{1D28903F-ECC7-47F8-A278-DEE1B717D2EE}"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layout>
                    <c:manualLayout>
                      <c:w val="0.30102572759317942"/>
                      <c:h val="0.32966666666666661"/>
                    </c:manualLayout>
                  </c15:layout>
                  <c15:dlblFieldTable/>
                  <c15:showDataLabelsRange val="0"/>
                </c:ext>
                <c:ext xmlns:c16="http://schemas.microsoft.com/office/drawing/2014/chart" uri="{C3380CC4-5D6E-409C-BE32-E72D297353CC}">
                  <c16:uniqueId val="{00000003-57C1-4063-8C0A-0C355B746280}"/>
                </c:ext>
              </c:extLst>
            </c:dLbl>
            <c:dLbl>
              <c:idx val="2"/>
              <c:layout>
                <c:manualLayout>
                  <c:x val="-9.6450623747386152E-2"/>
                  <c:y val="-5.2791235050086982E-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7FA3B54-B698-4127-9ED0-1A8325099673}" type="CATEGORYNAME">
                      <a:rPr lang="en-US"/>
                      <a:pPr>
                        <a:defRPr>
                          <a:solidFill>
                            <a:schemeClr val="accent1"/>
                          </a:solidFill>
                        </a:defRPr>
                      </a:pPr>
                      <a:t>[CATEGORY NAME]</a:t>
                    </a:fld>
                    <a:endParaRPr lang="en-US"/>
                  </a:p>
                  <a:p>
                    <a:pPr>
                      <a:defRPr>
                        <a:solidFill>
                          <a:schemeClr val="accent1"/>
                        </a:solidFill>
                      </a:defRPr>
                    </a:pPr>
                    <a:r>
                      <a:rPr lang="en-US" baseline="0"/>
                      <a:t> </a:t>
                    </a:r>
                    <a:fld id="{39DB404F-CB9C-43CE-B5D5-41AAC0F5F1DF}" type="VALUE">
                      <a:rPr lang="en-US" baseline="0"/>
                      <a:pPr>
                        <a:defRPr>
                          <a:solidFill>
                            <a:schemeClr val="accent1"/>
                          </a:solidFill>
                        </a:defRPr>
                      </a:pPr>
                      <a:t>[VALUE]</a:t>
                    </a:fld>
                    <a:r>
                      <a:rPr lang="en-US" baseline="0"/>
                      <a:t>; </a:t>
                    </a:r>
                    <a:fld id="{57DF0065-BF5A-4ACC-BE93-B40D6EED1131}"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30374562554680667"/>
                      <c:h val="0.24676179917943467"/>
                    </c:manualLayout>
                  </c15:layout>
                  <c15:dlblFieldTable/>
                  <c15:showDataLabelsRange val="0"/>
                </c:ext>
                <c:ext xmlns:c16="http://schemas.microsoft.com/office/drawing/2014/chart" uri="{C3380CC4-5D6E-409C-BE32-E72D297353CC}">
                  <c16:uniqueId val="{00000004-E27F-4A22-9DC3-FAA6E8F2F12F}"/>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Lapa1!$A$2:$A$4</c:f>
              <c:strCache>
                <c:ptCount val="3"/>
                <c:pt idx="0">
                  <c:v>Zaudējumu atlīdzības prasības</c:v>
                </c:pt>
                <c:pt idx="1">
                  <c:v>Prasības, pamatojoties uz Maksātnespējas likuma 72.1 pantu</c:v>
                </c:pt>
                <c:pt idx="2">
                  <c:v>Prasības par darījumu apstrīdēšanu</c:v>
                </c:pt>
              </c:strCache>
            </c:strRef>
          </c:cat>
          <c:val>
            <c:numRef>
              <c:f>Lapa1!$B$2:$B$4</c:f>
              <c:numCache>
                <c:formatCode>0</c:formatCode>
                <c:ptCount val="3"/>
                <c:pt idx="0">
                  <c:v>34</c:v>
                </c:pt>
                <c:pt idx="1">
                  <c:v>35</c:v>
                </c:pt>
                <c:pt idx="2" formatCode="General">
                  <c:v>12</c:v>
                </c:pt>
              </c:numCache>
            </c:numRef>
          </c:val>
          <c:extLst>
            <c:ext xmlns:c16="http://schemas.microsoft.com/office/drawing/2014/chart" uri="{C3380CC4-5D6E-409C-BE32-E72D297353CC}">
              <c16:uniqueId val="{00000004-57C1-4063-8C0A-0C355B74628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030623668475114E-2"/>
          <c:y val="0.12846431616430112"/>
          <c:w val="0.82269386440817582"/>
          <c:h val="0.64138831770232541"/>
        </c:manualLayout>
      </c:layout>
      <c:pie3DChart>
        <c:varyColors val="1"/>
        <c:ser>
          <c:idx val="0"/>
          <c:order val="0"/>
          <c:tx>
            <c:strRef>
              <c:f>Lapa1!$B$1</c:f>
              <c:strCache>
                <c:ptCount val="1"/>
                <c:pt idx="0">
                  <c:v>Kolonna1</c:v>
                </c:pt>
              </c:strCache>
            </c:strRef>
          </c:tx>
          <c:dPt>
            <c:idx val="0"/>
            <c:bubble3D val="0"/>
            <c:explosion val="2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BEA-4D82-BD1B-89A3AFE923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BEA-4D82-BD1B-89A3AFE923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outEnd"/>
              <c:showLegendKey val="0"/>
              <c:showVal val="0"/>
              <c:showCatName val="1"/>
              <c:showSerName val="0"/>
              <c:showPercent val="1"/>
              <c:showBubbleSize val="0"/>
              <c:extLst>
                <c:ext xmlns:c16="http://schemas.microsoft.com/office/drawing/2014/chart" uri="{C3380CC4-5D6E-409C-BE32-E72D297353CC}">
                  <c16:uniqueId val="{00000001-8BEA-4D82-BD1B-89A3AFE923F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outEnd"/>
              <c:showLegendKey val="0"/>
              <c:showVal val="0"/>
              <c:showCatName val="1"/>
              <c:showSerName val="0"/>
              <c:showPercent val="1"/>
              <c:showBubbleSize val="0"/>
              <c:extLst>
                <c:ext xmlns:c16="http://schemas.microsoft.com/office/drawing/2014/chart" uri="{C3380CC4-5D6E-409C-BE32-E72D297353CC}">
                  <c16:uniqueId val="{00000003-8BEA-4D82-BD1B-89A3AFE923F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Lapa1!$A$2:$A$3</c:f>
              <c:strCache>
                <c:ptCount val="2"/>
                <c:pt idx="0">
                  <c:v>Nav izdevies atgūt</c:v>
                </c:pt>
                <c:pt idx="1">
                  <c:v>Atgūts</c:v>
                </c:pt>
              </c:strCache>
            </c:strRef>
          </c:cat>
          <c:val>
            <c:numRef>
              <c:f>Lapa1!$B$2:$B$3</c:f>
              <c:numCache>
                <c:formatCode>0.00</c:formatCode>
                <c:ptCount val="2"/>
                <c:pt idx="0">
                  <c:v>13711653.91</c:v>
                </c:pt>
                <c:pt idx="1">
                  <c:v>946806.75</c:v>
                </c:pt>
              </c:numCache>
            </c:numRef>
          </c:val>
          <c:extLst>
            <c:ext xmlns:c16="http://schemas.microsoft.com/office/drawing/2014/chart" uri="{C3380CC4-5D6E-409C-BE32-E72D297353CC}">
              <c16:uniqueId val="{00000004-8BEA-4D82-BD1B-89A3AFE923F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Piespriestā summa (€)</c:v>
          </c:tx>
          <c:spPr>
            <a:solidFill>
              <a:schemeClr val="accent1"/>
            </a:solidFill>
            <a:ln w="12700" cap="flat" cmpd="sng" algn="ctr">
              <a:solidFill>
                <a:schemeClr val="lt1"/>
              </a:solidFill>
              <a:prstDash val="solid"/>
              <a:round/>
            </a:ln>
            <a:effectLst/>
          </c:spPr>
          <c:invertIfNegative val="0"/>
          <c:cat>
            <c:strRef>
              <c:f>Dati!$A$2:$A$5</c:f>
              <c:strCache>
                <c:ptCount val="4"/>
                <c:pt idx="0">
                  <c:v>Izlīgums</c:v>
                </c:pt>
                <c:pt idx="1">
                  <c:v>Cesija</c:v>
                </c:pt>
                <c:pt idx="2">
                  <c:v>Piedziņa</c:v>
                </c:pt>
                <c:pt idx="3">
                  <c:v>Piedziņa + Cesija</c:v>
                </c:pt>
              </c:strCache>
            </c:strRef>
          </c:cat>
          <c:val>
            <c:numRef>
              <c:f>Dati!$B$2:$B$5</c:f>
              <c:numCache>
                <c:formatCode>General</c:formatCode>
                <c:ptCount val="4"/>
                <c:pt idx="0">
                  <c:v>7524062.25</c:v>
                </c:pt>
                <c:pt idx="1">
                  <c:v>5186448.2</c:v>
                </c:pt>
                <c:pt idx="2">
                  <c:v>942429.19</c:v>
                </c:pt>
                <c:pt idx="3">
                  <c:v>999932.02</c:v>
                </c:pt>
              </c:numCache>
            </c:numRef>
          </c:val>
          <c:extLst>
            <c:ext xmlns:c16="http://schemas.microsoft.com/office/drawing/2014/chart" uri="{C3380CC4-5D6E-409C-BE32-E72D297353CC}">
              <c16:uniqueId val="{00000000-3CB1-4151-B500-63AA0168601D}"/>
            </c:ext>
          </c:extLst>
        </c:ser>
        <c:ser>
          <c:idx val="1"/>
          <c:order val="1"/>
          <c:tx>
            <c:v>Atgūtā summa (€)</c:v>
          </c:tx>
          <c:spPr>
            <a:solidFill>
              <a:schemeClr val="accent2"/>
            </a:solidFill>
            <a:ln w="12700" cap="flat" cmpd="sng" algn="ctr">
              <a:solidFill>
                <a:schemeClr val="lt1"/>
              </a:solidFill>
              <a:prstDash val="solid"/>
              <a:round/>
            </a:ln>
            <a:effectLst/>
          </c:spPr>
          <c:invertIfNegative val="0"/>
          <c:cat>
            <c:strRef>
              <c:f>Dati!$A$2:$A$5</c:f>
              <c:strCache>
                <c:ptCount val="4"/>
                <c:pt idx="0">
                  <c:v>Izlīgums</c:v>
                </c:pt>
                <c:pt idx="1">
                  <c:v>Cesija</c:v>
                </c:pt>
                <c:pt idx="2">
                  <c:v>Piedziņa</c:v>
                </c:pt>
                <c:pt idx="3">
                  <c:v>Piedziņa + Cesija</c:v>
                </c:pt>
              </c:strCache>
            </c:strRef>
          </c:cat>
          <c:val>
            <c:numRef>
              <c:f>Dati!$C$2:$C$5</c:f>
              <c:numCache>
                <c:formatCode>General</c:formatCode>
                <c:ptCount val="4"/>
                <c:pt idx="0">
                  <c:v>287203.8</c:v>
                </c:pt>
                <c:pt idx="1">
                  <c:v>62094.69</c:v>
                </c:pt>
                <c:pt idx="2">
                  <c:v>223155.8</c:v>
                </c:pt>
                <c:pt idx="3">
                  <c:v>374352.46</c:v>
                </c:pt>
              </c:numCache>
            </c:numRef>
          </c:val>
          <c:extLst>
            <c:ext xmlns:c16="http://schemas.microsoft.com/office/drawing/2014/chart" uri="{C3380CC4-5D6E-409C-BE32-E72D297353CC}">
              <c16:uniqueId val="{00000001-3CB1-4151-B500-63AA0168601D}"/>
            </c:ext>
          </c:extLst>
        </c:ser>
        <c:dLbls>
          <c:showLegendKey val="0"/>
          <c:showVal val="0"/>
          <c:showCatName val="0"/>
          <c:showSerName val="0"/>
          <c:showPercent val="0"/>
          <c:showBubbleSize val="0"/>
        </c:dLbls>
        <c:gapWidth val="150"/>
        <c:axId val="50010001"/>
        <c:axId val="50010002"/>
      </c:barChart>
      <c:catAx>
        <c:axId val="5001000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Atgūšanas veids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v-LV"/>
            </a:p>
          </c:txPr>
        </c:title>
        <c:numFmt formatCode="General" sourceLinked="0"/>
        <c:majorTickMark val="out"/>
        <c:minorTickMark val="none"/>
        <c:tickLblPos val="nextTo"/>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50010002"/>
        <c:crosses val="autoZero"/>
        <c:auto val="1"/>
        <c:lblAlgn val="ctr"/>
        <c:lblOffset val="100"/>
        <c:noMultiLvlLbl val="0"/>
      </c:catAx>
      <c:valAx>
        <c:axId val="50010002"/>
        <c:scaling>
          <c:orientation val="minMax"/>
        </c:scaling>
        <c:delete val="0"/>
        <c:axPos val="l"/>
        <c:majorGridlines>
          <c:spPr>
            <a:ln w="1270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Summa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v-LV"/>
            </a:p>
          </c:txPr>
        </c:title>
        <c:numFmt formatCode="#,##0" sourceLinked="0"/>
        <c:majorTickMark val="out"/>
        <c:minorTickMark val="none"/>
        <c:tickLblPos val="nextTo"/>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50010001"/>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12700" cap="flat" cmpd="sng" algn="ctr">
      <a:solidFill>
        <a:schemeClr val="tx1">
          <a:tint val="75000"/>
        </a:schemeClr>
      </a:solidFill>
      <a:prstDash val="solid"/>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361599030890363E-2"/>
          <c:y val="0.23185557140345051"/>
          <c:w val="0.82269386440817582"/>
          <c:h val="0.64138831770232541"/>
        </c:manualLayout>
      </c:layout>
      <c:pie3DChart>
        <c:varyColors val="1"/>
        <c:ser>
          <c:idx val="0"/>
          <c:order val="0"/>
          <c:tx>
            <c:strRef>
              <c:f>Lapa1!$B$1</c:f>
              <c:strCache>
                <c:ptCount val="1"/>
                <c:pt idx="0">
                  <c:v>Kolonna1</c:v>
                </c:pt>
              </c:strCache>
            </c:strRef>
          </c:tx>
          <c:explosion val="43"/>
          <c:dPt>
            <c:idx val="0"/>
            <c:bubble3D val="0"/>
            <c:explosion val="33"/>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E01-4F13-BD32-DCB47072861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E01-4F13-BD32-DCB47072861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145E-4C6E-97FB-D7D8A3382B3C}"/>
              </c:ext>
            </c:extLst>
          </c:dPt>
          <c:dPt>
            <c:idx val="3"/>
            <c:bubble3D val="0"/>
            <c:explosion val="26"/>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45E-4C6E-97FB-D7D8A3382B3C}"/>
              </c:ext>
            </c:extLst>
          </c:dPt>
          <c:dLbls>
            <c:dLbl>
              <c:idx val="0"/>
              <c:layout>
                <c:manualLayout>
                  <c:x val="2.3310023310024164E-3"/>
                  <c:y val="-2.894954507857733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7D57CF3-06E9-476B-9DCD-023E4A86639D}" type="CATEGORYNAME">
                      <a:rPr lang="en-US"/>
                      <a:pPr>
                        <a:defRPr/>
                      </a:pPr>
                      <a:t>[CATEGORY NAME]</a:t>
                    </a:fld>
                    <a:endParaRPr lang="en-US" baseline="0"/>
                  </a:p>
                  <a:p>
                    <a:pPr>
                      <a:defRPr/>
                    </a:pPr>
                    <a:fld id="{B97BFCA0-2AF1-4446-AC30-FAEBDEA3C48F}" type="VALUE">
                      <a:rPr lang="en-US" baseline="0"/>
                      <a:pPr>
                        <a:defRPr/>
                      </a:pPr>
                      <a:t>[VALUE]</a:t>
                    </a:fld>
                    <a:r>
                      <a:rPr lang="en-US" baseline="0"/>
                      <a:t>; </a:t>
                    </a:r>
                    <a:fld id="{FE3B26B6-5E05-4B79-BE89-D848EE5C490B}"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01-4F13-BD32-DCB47072861E}"/>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A7356D1-42EE-473E-B714-63DF9CC198E1}" type="CATEGORYNAME">
                      <a:rPr lang="en-US"/>
                      <a:pPr>
                        <a:defRPr>
                          <a:solidFill>
                            <a:schemeClr val="accent1"/>
                          </a:solidFill>
                        </a:defRPr>
                      </a:pPr>
                      <a:t>[CATEGORY NAME]</a:t>
                    </a:fld>
                    <a:endParaRPr lang="en-US" baseline="0"/>
                  </a:p>
                  <a:p>
                    <a:pPr>
                      <a:defRPr>
                        <a:solidFill>
                          <a:schemeClr val="accent1"/>
                        </a:solidFill>
                      </a:defRPr>
                    </a:pPr>
                    <a:r>
                      <a:rPr lang="en-US" baseline="0"/>
                      <a:t> </a:t>
                    </a:r>
                    <a:fld id="{54BA99E8-95C9-47B4-B896-AD338D5E767C}" type="VALUE">
                      <a:rPr lang="en-US" baseline="0"/>
                      <a:pPr>
                        <a:defRPr>
                          <a:solidFill>
                            <a:schemeClr val="accent1"/>
                          </a:solidFill>
                        </a:defRPr>
                      </a:pPr>
                      <a:t>[VALUE]</a:t>
                    </a:fld>
                    <a:r>
                      <a:rPr lang="en-US" baseline="0"/>
                      <a:t>; </a:t>
                    </a:r>
                    <a:fld id="{035EADC4-4EE5-4A9F-9C09-47F78FE7562E}"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E01-4F13-BD32-DCB47072861E}"/>
                </c:ext>
              </c:extLst>
            </c:dLbl>
            <c:dLbl>
              <c:idx val="2"/>
              <c:layout>
                <c:manualLayout>
                  <c:x val="-3.2634032634032611E-2"/>
                  <c:y val="-8.2712985938792772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E4636D2-A93B-48D1-808C-E9C52E752E49}" type="CATEGORYNAME">
                      <a:rPr lang="lv-LV"/>
                      <a:pPr>
                        <a:defRPr>
                          <a:solidFill>
                            <a:schemeClr val="accent1"/>
                          </a:solidFill>
                        </a:defRPr>
                      </a:pPr>
                      <a:t>[CATEGORY NAME]</a:t>
                    </a:fld>
                    <a:endParaRPr lang="lv-LV" baseline="0"/>
                  </a:p>
                  <a:p>
                    <a:pPr>
                      <a:defRPr>
                        <a:solidFill>
                          <a:schemeClr val="accent1"/>
                        </a:solidFill>
                      </a:defRPr>
                    </a:pPr>
                    <a:r>
                      <a:rPr lang="lv-LV" baseline="0"/>
                      <a:t> </a:t>
                    </a:r>
                    <a:fld id="{7E0F4581-9168-4A76-87C4-EE84F3E349F3}" type="VALUE">
                      <a:rPr lang="lv-LV" baseline="0"/>
                      <a:pPr>
                        <a:defRPr>
                          <a:solidFill>
                            <a:schemeClr val="accent1"/>
                          </a:solidFill>
                        </a:defRPr>
                      </a:pPr>
                      <a:t>[VALUE]</a:t>
                    </a:fld>
                    <a:r>
                      <a:rPr lang="lv-LV" baseline="0"/>
                      <a:t>; </a:t>
                    </a:r>
                    <a:fld id="{6C715AEF-9595-416B-8795-AA550F562982}" type="PERCENTAGE">
                      <a:rPr lang="lv-LV" baseline="0"/>
                      <a:pPr>
                        <a:defRPr>
                          <a:solidFill>
                            <a:schemeClr val="accent1"/>
                          </a:solidFill>
                        </a:defRPr>
                      </a:pPr>
                      <a:t>[PERCENTAGE]</a:t>
                    </a:fld>
                    <a:endParaRPr lang="lv-LV"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45E-4C6E-97FB-D7D8A3382B3C}"/>
                </c:ext>
              </c:extLst>
            </c:dLbl>
            <c:dLbl>
              <c:idx val="3"/>
              <c:layout>
                <c:manualLayout>
                  <c:x val="9.0909090909090828E-2"/>
                  <c:y val="-4.135649296939619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BCF49A8-0208-4CFB-B7B4-9BBBFC44340D}" type="CATEGORYNAME">
                      <a:rPr lang="lv-LV"/>
                      <a:pPr>
                        <a:defRPr>
                          <a:solidFill>
                            <a:schemeClr val="accent1"/>
                          </a:solidFill>
                        </a:defRPr>
                      </a:pPr>
                      <a:t>[CATEGORY NAME]</a:t>
                    </a:fld>
                    <a:endParaRPr lang="lv-LV"/>
                  </a:p>
                  <a:p>
                    <a:pPr>
                      <a:defRPr>
                        <a:solidFill>
                          <a:schemeClr val="accent1"/>
                        </a:solidFill>
                      </a:defRPr>
                    </a:pPr>
                    <a:fld id="{216A00FA-B54E-43E8-AC7E-3F593427ADA8}" type="VALUE">
                      <a:rPr lang="lv-LV" baseline="0"/>
                      <a:pPr>
                        <a:defRPr>
                          <a:solidFill>
                            <a:schemeClr val="accent1"/>
                          </a:solidFill>
                        </a:defRPr>
                      </a:pPr>
                      <a:t>[VALUE]</a:t>
                    </a:fld>
                    <a:r>
                      <a:rPr lang="lv-LV" baseline="0"/>
                      <a:t>; </a:t>
                    </a:r>
                    <a:fld id="{E92595D3-A8EB-4C2E-9050-61F30BA5DC80}" type="PERCENTAGE">
                      <a:rPr lang="lv-LV" baseline="0"/>
                      <a:pPr>
                        <a:defRPr>
                          <a:solidFill>
                            <a:schemeClr val="accent1"/>
                          </a:solidFill>
                        </a:defRPr>
                      </a:pPr>
                      <a:t>[PERCENTAGE]</a:t>
                    </a:fld>
                    <a:endParaRPr lang="lv-LV"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5E-4C6E-97FB-D7D8A3382B3C}"/>
                </c:ext>
              </c:extLst>
            </c:dLbl>
            <c:spPr>
              <a:noFill/>
              <a:ln>
                <a:noFill/>
              </a:ln>
              <a:effectLst/>
            </c:sp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Lapa1!$A$2:$A$5</c:f>
              <c:strCache>
                <c:ptCount val="4"/>
                <c:pt idx="0">
                  <c:v>Izlīgums</c:v>
                </c:pt>
                <c:pt idx="1">
                  <c:v>Cesija</c:v>
                </c:pt>
                <c:pt idx="2">
                  <c:v>Piedziņa</c:v>
                </c:pt>
                <c:pt idx="3">
                  <c:v>Piedziņa pluss cesija </c:v>
                </c:pt>
              </c:strCache>
            </c:strRef>
          </c:cat>
          <c:val>
            <c:numRef>
              <c:f>Lapa1!$B$2:$B$5</c:f>
              <c:numCache>
                <c:formatCode>0</c:formatCode>
                <c:ptCount val="4"/>
                <c:pt idx="0">
                  <c:v>17</c:v>
                </c:pt>
                <c:pt idx="1">
                  <c:v>47</c:v>
                </c:pt>
                <c:pt idx="2">
                  <c:v>11</c:v>
                </c:pt>
                <c:pt idx="3">
                  <c:v>4</c:v>
                </c:pt>
              </c:numCache>
            </c:numRef>
          </c:val>
          <c:extLst>
            <c:ext xmlns:c16="http://schemas.microsoft.com/office/drawing/2014/chart" uri="{C3380CC4-5D6E-409C-BE32-E72D297353CC}">
              <c16:uniqueId val="{00000004-FE01-4F13-BD32-DCB47072861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8636342913711468"/>
          <c:w val="0.96488501000312021"/>
          <c:h val="0.75305093687110447"/>
        </c:manualLayout>
      </c:layout>
      <c:pie3DChart>
        <c:varyColors val="1"/>
        <c:ser>
          <c:idx val="0"/>
          <c:order val="0"/>
          <c:tx>
            <c:strRef>
              <c:f>Lapa1!$B$1</c:f>
              <c:strCache>
                <c:ptCount val="1"/>
                <c:pt idx="0">
                  <c:v>Kolonna1</c:v>
                </c:pt>
              </c:strCache>
            </c:strRef>
          </c:tx>
          <c:explosion val="43"/>
          <c:dPt>
            <c:idx val="0"/>
            <c:bubble3D val="0"/>
            <c:explosion val="1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5AD-45DD-930B-D29A3B1A9A02}"/>
              </c:ext>
            </c:extLst>
          </c:dPt>
          <c:dPt>
            <c:idx val="1"/>
            <c:bubble3D val="0"/>
            <c:explosion val="14"/>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5AD-45DD-930B-D29A3B1A9A02}"/>
              </c:ext>
            </c:extLst>
          </c:dPt>
          <c:dPt>
            <c:idx val="2"/>
            <c:bubble3D val="0"/>
            <c:explosion val="2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5AD-45DD-930B-D29A3B1A9A02}"/>
              </c:ext>
            </c:extLst>
          </c:dPt>
          <c:dPt>
            <c:idx val="3"/>
            <c:bubble3D val="0"/>
            <c:explosion val="1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5AD-45DD-930B-D29A3B1A9A02}"/>
              </c:ext>
            </c:extLst>
          </c:dPt>
          <c:dLbls>
            <c:dLbl>
              <c:idx val="0"/>
              <c:layout>
                <c:manualLayout>
                  <c:x val="-5.4963136401428081E-2"/>
                  <c:y val="-8.927565456756929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20530640191715163"/>
                      <c:h val="0.21439168427117342"/>
                    </c:manualLayout>
                  </c15:layout>
                </c:ext>
                <c:ext xmlns:c16="http://schemas.microsoft.com/office/drawing/2014/chart" uri="{C3380CC4-5D6E-409C-BE32-E72D297353CC}">
                  <c16:uniqueId val="{00000001-05AD-45DD-930B-D29A3B1A9A02}"/>
                </c:ext>
              </c:extLst>
            </c:dLbl>
            <c:dLbl>
              <c:idx val="1"/>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lv-LV"/>
                </a:p>
              </c:txPr>
              <c:dLblPos val="outEnd"/>
              <c:showLegendKey val="0"/>
              <c:showVal val="0"/>
              <c:showCatName val="1"/>
              <c:showSerName val="0"/>
              <c:showPercent val="1"/>
              <c:showBubbleSize val="0"/>
              <c:extLst>
                <c:ext xmlns:c15="http://schemas.microsoft.com/office/drawing/2012/chart" uri="{CE6537A1-D6FC-4f65-9D91-7224C49458BB}">
                  <c15:layout>
                    <c:manualLayout>
                      <c:w val="0.18304539378229892"/>
                      <c:h val="0.17941513027334999"/>
                    </c:manualLayout>
                  </c15:layout>
                </c:ext>
                <c:ext xmlns:c16="http://schemas.microsoft.com/office/drawing/2014/chart" uri="{C3380CC4-5D6E-409C-BE32-E72D297353CC}">
                  <c16:uniqueId val="{00000003-05AD-45DD-930B-D29A3B1A9A02}"/>
                </c:ext>
              </c:extLst>
            </c:dLbl>
            <c:dLbl>
              <c:idx val="2"/>
              <c:layout>
                <c:manualLayout>
                  <c:x val="-0.28696270014120573"/>
                  <c:y val="-7.3685312951516264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37867833010235419"/>
                      <c:h val="0.1740743115579608"/>
                    </c:manualLayout>
                  </c15:layout>
                </c:ext>
                <c:ext xmlns:c16="http://schemas.microsoft.com/office/drawing/2014/chart" uri="{C3380CC4-5D6E-409C-BE32-E72D297353CC}">
                  <c16:uniqueId val="{00000005-05AD-45DD-930B-D29A3B1A9A02}"/>
                </c:ext>
              </c:extLst>
            </c:dLbl>
            <c:dLbl>
              <c:idx val="3"/>
              <c:layout>
                <c:manualLayout>
                  <c:x val="4.5082300730195278E-2"/>
                  <c:y val="-0.13222545749922099"/>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27375825180943292"/>
                      <c:h val="0.24987846849883061"/>
                    </c:manualLayout>
                  </c15:layout>
                </c:ext>
                <c:ext xmlns:c16="http://schemas.microsoft.com/office/drawing/2014/chart" uri="{C3380CC4-5D6E-409C-BE32-E72D297353CC}">
                  <c16:uniqueId val="{00000007-05AD-45DD-930B-D29A3B1A9A02}"/>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Lapa1!$A$2:$A$5</c:f>
              <c:strCache>
                <c:ptCount val="4"/>
                <c:pt idx="0">
                  <c:v>Izlīgums</c:v>
                </c:pt>
                <c:pt idx="1">
                  <c:v>Cesija</c:v>
                </c:pt>
                <c:pt idx="2">
                  <c:v>Piedziņa</c:v>
                </c:pt>
                <c:pt idx="3">
                  <c:v>Piedziņa pluss cesija </c:v>
                </c:pt>
              </c:strCache>
            </c:strRef>
          </c:cat>
          <c:val>
            <c:numRef>
              <c:f>Lapa1!$B$2:$B$5</c:f>
              <c:numCache>
                <c:formatCode>0.00</c:formatCode>
                <c:ptCount val="4"/>
                <c:pt idx="0">
                  <c:v>287203.8</c:v>
                </c:pt>
                <c:pt idx="1">
                  <c:v>62094.69</c:v>
                </c:pt>
                <c:pt idx="2">
                  <c:v>223155.8</c:v>
                </c:pt>
                <c:pt idx="3">
                  <c:v>374352.46</c:v>
                </c:pt>
              </c:numCache>
            </c:numRef>
          </c:val>
          <c:extLst>
            <c:ext xmlns:c16="http://schemas.microsoft.com/office/drawing/2014/chart" uri="{C3380CC4-5D6E-409C-BE32-E72D297353CC}">
              <c16:uniqueId val="{00000008-05AD-45DD-930B-D29A3B1A9A0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1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6D336B43B2DD4CAE2F41925C0A6074" ma:contentTypeVersion="18" ma:contentTypeDescription="Create a new document." ma:contentTypeScope="" ma:versionID="6665324199126e62422867904c9a6315">
  <xsd:schema xmlns:xsd="http://www.w3.org/2001/XMLSchema" xmlns:xs="http://www.w3.org/2001/XMLSchema" xmlns:p="http://schemas.microsoft.com/office/2006/metadata/properties" xmlns:ns3="a7f02ad4-0743-4f8e-84d6-a9c1f7da57ad" xmlns:ns4="b7362b03-aa8e-48ab-869e-349986d368d1" targetNamespace="http://schemas.microsoft.com/office/2006/metadata/properties" ma:root="true" ma:fieldsID="2073a4911ef0eb8fd439c1d30ff704fc" ns3:_="" ns4:_="">
    <xsd:import namespace="a7f02ad4-0743-4f8e-84d6-a9c1f7da57ad"/>
    <xsd:import namespace="b7362b03-aa8e-48ab-869e-349986d368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02ad4-0743-4f8e-84d6-a9c1f7da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62b03-aa8e-48ab-869e-349986d368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7f02ad4-0743-4f8e-84d6-a9c1f7da57ad" xsi:nil="true"/>
  </documentManagement>
</p:properties>
</file>

<file path=customXml/itemProps1.xml><?xml version="1.0" encoding="utf-8"?>
<ds:datastoreItem xmlns:ds="http://schemas.openxmlformats.org/officeDocument/2006/customXml" ds:itemID="{AB6367AA-441A-449F-AD4F-2EACF288C816}">
  <ds:schemaRefs>
    <ds:schemaRef ds:uri="http://schemas.openxmlformats.org/officeDocument/2006/bibliography"/>
  </ds:schemaRefs>
</ds:datastoreItem>
</file>

<file path=customXml/itemProps2.xml><?xml version="1.0" encoding="utf-8"?>
<ds:datastoreItem xmlns:ds="http://schemas.openxmlformats.org/officeDocument/2006/customXml" ds:itemID="{C08B9273-7A93-4626-9BB2-31BD6748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02ad4-0743-4f8e-84d6-a9c1f7da57ad"/>
    <ds:schemaRef ds:uri="b7362b03-aa8e-48ab-869e-349986d36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82E08-A223-42BD-8597-84D6D5590F5F}">
  <ds:schemaRefs>
    <ds:schemaRef ds:uri="http://schemas.microsoft.com/sharepoint/v3/contenttype/forms"/>
  </ds:schemaRefs>
</ds:datastoreItem>
</file>

<file path=customXml/itemProps4.xml><?xml version="1.0" encoding="utf-8"?>
<ds:datastoreItem xmlns:ds="http://schemas.openxmlformats.org/officeDocument/2006/customXml" ds:itemID="{86051FE5-E529-411E-B854-D63125B21CA1}">
  <ds:schemaRefs>
    <ds:schemaRef ds:uri="b7362b03-aa8e-48ab-869e-349986d368d1"/>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a7f02ad4-0743-4f8e-84d6-a9c1f7da57a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43578</Words>
  <Characters>24841</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68283</CharactersWithSpaces>
  <SharedDoc>false</SharedDoc>
  <HLinks>
    <vt:vector size="42" baseType="variant">
      <vt:variant>
        <vt:i4>1245245</vt:i4>
      </vt:variant>
      <vt:variant>
        <vt:i4>32</vt:i4>
      </vt:variant>
      <vt:variant>
        <vt:i4>0</vt:i4>
      </vt:variant>
      <vt:variant>
        <vt:i4>5</vt:i4>
      </vt:variant>
      <vt:variant>
        <vt:lpwstr/>
      </vt:variant>
      <vt:variant>
        <vt:lpwstr>_Toc198649023</vt:lpwstr>
      </vt:variant>
      <vt:variant>
        <vt:i4>1245245</vt:i4>
      </vt:variant>
      <vt:variant>
        <vt:i4>26</vt:i4>
      </vt:variant>
      <vt:variant>
        <vt:i4>0</vt:i4>
      </vt:variant>
      <vt:variant>
        <vt:i4>5</vt:i4>
      </vt:variant>
      <vt:variant>
        <vt:lpwstr/>
      </vt:variant>
      <vt:variant>
        <vt:lpwstr>_Toc198649022</vt:lpwstr>
      </vt:variant>
      <vt:variant>
        <vt:i4>1245245</vt:i4>
      </vt:variant>
      <vt:variant>
        <vt:i4>20</vt:i4>
      </vt:variant>
      <vt:variant>
        <vt:i4>0</vt:i4>
      </vt:variant>
      <vt:variant>
        <vt:i4>5</vt:i4>
      </vt:variant>
      <vt:variant>
        <vt:lpwstr/>
      </vt:variant>
      <vt:variant>
        <vt:lpwstr>_Toc198649021</vt:lpwstr>
      </vt:variant>
      <vt:variant>
        <vt:i4>1245245</vt:i4>
      </vt:variant>
      <vt:variant>
        <vt:i4>14</vt:i4>
      </vt:variant>
      <vt:variant>
        <vt:i4>0</vt:i4>
      </vt:variant>
      <vt:variant>
        <vt:i4>5</vt:i4>
      </vt:variant>
      <vt:variant>
        <vt:lpwstr/>
      </vt:variant>
      <vt:variant>
        <vt:lpwstr>_Toc198649020</vt:lpwstr>
      </vt:variant>
      <vt:variant>
        <vt:i4>1048637</vt:i4>
      </vt:variant>
      <vt:variant>
        <vt:i4>8</vt:i4>
      </vt:variant>
      <vt:variant>
        <vt:i4>0</vt:i4>
      </vt:variant>
      <vt:variant>
        <vt:i4>5</vt:i4>
      </vt:variant>
      <vt:variant>
        <vt:lpwstr/>
      </vt:variant>
      <vt:variant>
        <vt:lpwstr>_Toc198649019</vt:lpwstr>
      </vt:variant>
      <vt:variant>
        <vt:i4>1048637</vt:i4>
      </vt:variant>
      <vt:variant>
        <vt:i4>2</vt:i4>
      </vt:variant>
      <vt:variant>
        <vt:i4>0</vt:i4>
      </vt:variant>
      <vt:variant>
        <vt:i4>5</vt:i4>
      </vt:variant>
      <vt:variant>
        <vt:lpwstr/>
      </vt:variant>
      <vt:variant>
        <vt:lpwstr>_Toc198649018</vt:lpwstr>
      </vt:variant>
      <vt:variant>
        <vt:i4>8</vt:i4>
      </vt:variant>
      <vt:variant>
        <vt:i4>0</vt:i4>
      </vt:variant>
      <vt:variant>
        <vt:i4>0</vt:i4>
      </vt:variant>
      <vt:variant>
        <vt:i4>5</vt:i4>
      </vt:variant>
      <vt:variant>
        <vt:lpwstr>https://www.mkd.gov.lv/lv/informativie-materiali</vt:lpwstr>
      </vt:variant>
      <vt:variant>
        <vt:lpwstr>darijumu-apstridesana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Barojana</dc:creator>
  <cp:keywords/>
  <dc:description/>
  <cp:lastModifiedBy>Inese Cepleniece</cp:lastModifiedBy>
  <cp:revision>2</cp:revision>
  <dcterms:created xsi:type="dcterms:W3CDTF">2025-07-27T00:39:00Z</dcterms:created>
  <dcterms:modified xsi:type="dcterms:W3CDTF">2025-07-27T00:39:00Z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0x010100F96D336B43B2DD4CAE2F41925C0A6074</vt:lpwstr>
  </property>
</Properties>
</file>