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F58D" w14:textId="77777777" w:rsidR="00BA7E56" w:rsidRDefault="00BA7E56" w:rsidP="00BA7E56">
      <w:pPr>
        <w:widowControl/>
        <w:tabs>
          <w:tab w:val="left" w:pos="4395"/>
        </w:tabs>
        <w:spacing w:after="0" w:line="240" w:lineRule="auto"/>
        <w:ind w:right="-241"/>
        <w:jc w:val="both"/>
        <w:rPr>
          <w:rFonts w:eastAsia="Times New Roman"/>
          <w:i/>
          <w:iCs/>
        </w:rPr>
      </w:pPr>
      <w:r w:rsidRPr="00DE17B9">
        <w:rPr>
          <w:rFonts w:eastAsia="Times New Roman"/>
          <w:i/>
          <w:iCs/>
        </w:rPr>
        <w:t xml:space="preserve">Par </w:t>
      </w:r>
      <w:r>
        <w:rPr>
          <w:rFonts w:eastAsia="Times New Roman"/>
          <w:i/>
          <w:iCs/>
        </w:rPr>
        <w:t xml:space="preserve">Novēršanas </w:t>
      </w:r>
      <w:r w:rsidRPr="00DE17B9">
        <w:rPr>
          <w:rFonts w:eastAsia="Times New Roman"/>
          <w:i/>
          <w:iCs/>
        </w:rPr>
        <w:t xml:space="preserve">likuma piemērošanu </w:t>
      </w:r>
      <w:r>
        <w:rPr>
          <w:rFonts w:eastAsia="Times New Roman"/>
          <w:i/>
          <w:iCs/>
        </w:rPr>
        <w:t xml:space="preserve">maksātnespējas </w:t>
      </w:r>
      <w:r w:rsidRPr="00DE17B9">
        <w:rPr>
          <w:rFonts w:eastAsia="Times New Roman"/>
          <w:i/>
          <w:iCs/>
        </w:rPr>
        <w:t xml:space="preserve">procesiem, </w:t>
      </w:r>
    </w:p>
    <w:p w14:paraId="314F0D99" w14:textId="77777777" w:rsidR="00BA7E56" w:rsidRPr="00DE17B9" w:rsidRDefault="00BA7E56" w:rsidP="00BA7E56">
      <w:pPr>
        <w:widowControl/>
        <w:tabs>
          <w:tab w:val="left" w:pos="4395"/>
        </w:tabs>
        <w:spacing w:after="0" w:line="240" w:lineRule="auto"/>
        <w:ind w:right="-241"/>
        <w:jc w:val="both"/>
        <w:rPr>
          <w:rFonts w:eastAsia="Times New Roman"/>
          <w:i/>
          <w:iCs/>
        </w:rPr>
      </w:pPr>
      <w:r w:rsidRPr="00DE17B9">
        <w:rPr>
          <w:rFonts w:eastAsia="Times New Roman"/>
          <w:i/>
          <w:iCs/>
        </w:rPr>
        <w:t>kas uzsākti līdz 2020.</w:t>
      </w:r>
      <w:r>
        <w:rPr>
          <w:rFonts w:eastAsia="Times New Roman"/>
          <w:i/>
          <w:iCs/>
        </w:rPr>
        <w:t> </w:t>
      </w:r>
      <w:r w:rsidRPr="00DE17B9">
        <w:rPr>
          <w:rFonts w:eastAsia="Times New Roman"/>
          <w:i/>
          <w:iCs/>
        </w:rPr>
        <w:t>gadam</w:t>
      </w:r>
    </w:p>
    <w:p w14:paraId="40C9654C" w14:textId="77777777" w:rsidR="00BA7E56" w:rsidRPr="00646D15" w:rsidRDefault="00BA7E56" w:rsidP="00BA7E56">
      <w:pPr>
        <w:pStyle w:val="Default"/>
        <w:tabs>
          <w:tab w:val="left" w:pos="4395"/>
        </w:tabs>
        <w:jc w:val="right"/>
        <w:rPr>
          <w:color w:val="auto"/>
        </w:rPr>
      </w:pPr>
    </w:p>
    <w:p w14:paraId="093FEFBA" w14:textId="77777777" w:rsidR="00BA7E56" w:rsidRPr="00646D15" w:rsidRDefault="00BA7E56" w:rsidP="00BA7E56">
      <w:pPr>
        <w:widowControl/>
        <w:spacing w:after="0" w:line="240" w:lineRule="auto"/>
        <w:ind w:firstLine="567"/>
        <w:jc w:val="both"/>
      </w:pPr>
      <w:r w:rsidRPr="00646D15">
        <w:rPr>
          <w:rFonts w:eastAsia="Times New Roman"/>
        </w:rPr>
        <w:t xml:space="preserve">Maksātnespējas kontroles dienests, nodrošinot maksātnespējas procesa administratoru (turpmāk – administrators) uzraudzību Maksātnespējas likuma un Noziedzīgi iegūtu līdzekļu legalizācijas un terorisma un </w:t>
      </w:r>
      <w:proofErr w:type="spellStart"/>
      <w:r w:rsidRPr="00646D15">
        <w:rPr>
          <w:rFonts w:eastAsia="Times New Roman"/>
        </w:rPr>
        <w:t>proliferācijas</w:t>
      </w:r>
      <w:proofErr w:type="spellEnd"/>
      <w:r w:rsidRPr="00646D15">
        <w:rPr>
          <w:rFonts w:eastAsia="Times New Roman"/>
        </w:rPr>
        <w:t xml:space="preserve"> finansēšanas novēršanas likuma (turpmāk – Novēršanas likums) prasību izpildē, ir konstatējis vairākus gadījumus, kad </w:t>
      </w:r>
      <w:r w:rsidRPr="00646D15">
        <w:t>Novēršanas likum</w:t>
      </w:r>
      <w:r>
        <w:t>a</w:t>
      </w:r>
      <w:r w:rsidRPr="00646D15">
        <w:t xml:space="preserve"> prasības</w:t>
      </w:r>
      <w:r>
        <w:t xml:space="preserve"> administratori</w:t>
      </w:r>
      <w:r w:rsidRPr="00646D15">
        <w:t xml:space="preserve"> ne</w:t>
      </w:r>
      <w:r>
        <w:t>attiecina</w:t>
      </w:r>
      <w:r w:rsidRPr="00646D15">
        <w:t xml:space="preserve"> uz tiem maksātnespējas procesiem, kas pasludināti pirms 2020. gada 1. janvāra.</w:t>
      </w:r>
    </w:p>
    <w:p w14:paraId="74DC613F" w14:textId="77777777" w:rsidR="00BA7E56" w:rsidRPr="00646D15" w:rsidRDefault="00BA7E56" w:rsidP="00BA7E56">
      <w:pPr>
        <w:widowControl/>
        <w:spacing w:after="0" w:line="240" w:lineRule="auto"/>
        <w:ind w:firstLine="567"/>
        <w:jc w:val="both"/>
      </w:pPr>
      <w:r w:rsidRPr="00646D15">
        <w:t xml:space="preserve">Lai veicinātu vienotu administratoru izpratni par Novēršanas likuma piemērošanu, Maksātnespējas kontroles dienests </w:t>
      </w:r>
      <w:r>
        <w:t xml:space="preserve">kā uzraudzības un kontroles institūcija </w:t>
      </w:r>
      <w:r w:rsidRPr="00646D15">
        <w:t>sniedz šādu skaidrojumu.</w:t>
      </w:r>
    </w:p>
    <w:p w14:paraId="458BB44F" w14:textId="77777777" w:rsidR="00BA7E56" w:rsidRPr="00646D15" w:rsidRDefault="00BA7E56" w:rsidP="00BA7E56">
      <w:pPr>
        <w:widowControl/>
        <w:spacing w:after="0" w:line="240" w:lineRule="auto"/>
        <w:ind w:firstLine="567"/>
        <w:jc w:val="both"/>
      </w:pPr>
      <w:r w:rsidRPr="00646D15">
        <w:rPr>
          <w:rFonts w:eastAsia="Times New Roman"/>
          <w:shd w:val="clear" w:color="auto" w:fill="FFFFFF"/>
          <w:lang w:eastAsia="en-GB"/>
        </w:rPr>
        <w:t>Novēršanas likum</w:t>
      </w:r>
      <w:r>
        <w:rPr>
          <w:rFonts w:eastAsia="Times New Roman"/>
          <w:shd w:val="clear" w:color="auto" w:fill="FFFFFF"/>
          <w:lang w:eastAsia="en-GB"/>
        </w:rPr>
        <w:t>a mērķis</w:t>
      </w:r>
      <w:r w:rsidRPr="00646D15">
        <w:rPr>
          <w:rFonts w:eastAsia="Times New Roman"/>
          <w:shd w:val="clear" w:color="auto" w:fill="FFFFFF"/>
          <w:lang w:eastAsia="en-GB"/>
        </w:rPr>
        <w:t xml:space="preserve"> ir novērst </w:t>
      </w:r>
      <w:r w:rsidRPr="00646D15">
        <w:rPr>
          <w:rFonts w:eastAsia="Times New Roman"/>
          <w:bCs/>
          <w:lang w:eastAsia="en-GB"/>
        </w:rPr>
        <w:t>noziedzīg</w:t>
      </w:r>
      <w:r>
        <w:rPr>
          <w:rFonts w:eastAsia="Times New Roman"/>
          <w:bCs/>
          <w:lang w:eastAsia="en-GB"/>
        </w:rPr>
        <w:t>i</w:t>
      </w:r>
      <w:r w:rsidRPr="00646D15">
        <w:rPr>
          <w:rFonts w:eastAsia="Times New Roman"/>
          <w:bCs/>
          <w:lang w:eastAsia="en-GB"/>
        </w:rPr>
        <w:t xml:space="preserve"> iegūtu līdzekļu legalizāciju un terorisma un </w:t>
      </w:r>
      <w:proofErr w:type="spellStart"/>
      <w:r w:rsidRPr="00646D15">
        <w:rPr>
          <w:rFonts w:eastAsia="Times New Roman"/>
          <w:bCs/>
          <w:lang w:eastAsia="en-GB"/>
        </w:rPr>
        <w:t>proliferācijas</w:t>
      </w:r>
      <w:proofErr w:type="spellEnd"/>
      <w:r w:rsidRPr="00646D15">
        <w:rPr>
          <w:rFonts w:eastAsia="Times New Roman"/>
          <w:bCs/>
          <w:lang w:eastAsia="en-GB"/>
        </w:rPr>
        <w:t xml:space="preserve"> finansēšanu.</w:t>
      </w:r>
      <w:r>
        <w:rPr>
          <w:rFonts w:eastAsia="Times New Roman"/>
          <w:bCs/>
          <w:lang w:eastAsia="en-GB"/>
        </w:rPr>
        <w:t xml:space="preserve"> Administratori tika iekļauti </w:t>
      </w:r>
      <w:r w:rsidRPr="00646D15">
        <w:rPr>
          <w:rFonts w:eastAsia="Times New Roman"/>
          <w:bCs/>
          <w:lang w:eastAsia="en-GB"/>
        </w:rPr>
        <w:t>Novēršanas likuma subjektu lokā</w:t>
      </w:r>
      <w:r w:rsidRPr="00646D15">
        <w:t>,</w:t>
      </w:r>
      <w:r w:rsidRPr="00646D15">
        <w:rPr>
          <w:rFonts w:eastAsia="Times New Roman"/>
          <w:vertAlign w:val="superscript"/>
          <w:lang w:eastAsia="en-GB"/>
        </w:rPr>
        <w:footnoteReference w:id="1"/>
      </w:r>
      <w:r w:rsidRPr="00646D15">
        <w:rPr>
          <w:rFonts w:eastAsia="Times New Roman"/>
          <w:lang w:eastAsia="en-GB"/>
        </w:rPr>
        <w:t xml:space="preserve"> lai nodrošinātu, ka maksātnespējas procesi netiek izmantoti, lai </w:t>
      </w:r>
      <w:r>
        <w:rPr>
          <w:rFonts w:eastAsia="Times New Roman"/>
          <w:lang w:eastAsia="en-GB"/>
        </w:rPr>
        <w:t>legalizētu</w:t>
      </w:r>
      <w:r w:rsidRPr="00646D15">
        <w:rPr>
          <w:rFonts w:eastAsia="Times New Roman"/>
          <w:lang w:eastAsia="en-GB"/>
        </w:rPr>
        <w:t xml:space="preserve"> noziedzīgi iegūtus līdzekļus.</w:t>
      </w:r>
      <w:r w:rsidRPr="00646D15">
        <w:rPr>
          <w:rFonts w:eastAsia="Times New Roman"/>
          <w:vertAlign w:val="superscript"/>
          <w:lang w:eastAsia="en-GB"/>
        </w:rPr>
        <w:footnoteReference w:id="2"/>
      </w:r>
      <w:r w:rsidRPr="00646D15">
        <w:rPr>
          <w:rFonts w:eastAsia="Times New Roman"/>
          <w:lang w:eastAsia="en-GB"/>
        </w:rPr>
        <w:t xml:space="preserve"> </w:t>
      </w:r>
      <w:r w:rsidRPr="00646D15">
        <w:t xml:space="preserve">Risks, ka maksātnespējas process tiks izmantots </w:t>
      </w:r>
      <w:r w:rsidRPr="00646D15">
        <w:rPr>
          <w:bCs/>
        </w:rPr>
        <w:t xml:space="preserve">noziedzīgi iegūtu līdzekļu legalizācijas un terorisma un </w:t>
      </w:r>
      <w:proofErr w:type="spellStart"/>
      <w:r w:rsidRPr="00646D15">
        <w:rPr>
          <w:bCs/>
        </w:rPr>
        <w:t>proliferācijas</w:t>
      </w:r>
      <w:proofErr w:type="spellEnd"/>
      <w:r w:rsidRPr="00646D15">
        <w:rPr>
          <w:bCs/>
        </w:rPr>
        <w:t xml:space="preserve"> finansēšanas</w:t>
      </w:r>
      <w:r w:rsidRPr="00646D15">
        <w:t xml:space="preserve"> slēpšanai vai īstenošanai, tāpat arī risks administratoram tikt iesaistītam </w:t>
      </w:r>
      <w:r w:rsidRPr="00646D15">
        <w:rPr>
          <w:bCs/>
        </w:rPr>
        <w:t xml:space="preserve">noziedzīgi iegūtu līdzekļu legalizācijas un terorisma un </w:t>
      </w:r>
      <w:proofErr w:type="spellStart"/>
      <w:r w:rsidRPr="00646D15">
        <w:rPr>
          <w:bCs/>
        </w:rPr>
        <w:t>proliferācijas</w:t>
      </w:r>
      <w:proofErr w:type="spellEnd"/>
      <w:r w:rsidRPr="00646D15">
        <w:rPr>
          <w:bCs/>
        </w:rPr>
        <w:t xml:space="preserve"> finansēšanā</w:t>
      </w:r>
      <w:r w:rsidRPr="00646D15">
        <w:t xml:space="preserve"> pastāv jebkurā </w:t>
      </w:r>
      <w:r>
        <w:t xml:space="preserve">maksātnespējas </w:t>
      </w:r>
      <w:r w:rsidRPr="00646D15">
        <w:t>proces</w:t>
      </w:r>
      <w:r>
        <w:t>ā</w:t>
      </w:r>
      <w:r w:rsidRPr="00646D15">
        <w:t xml:space="preserve"> neatkarīgi no procesa pasludināšanas datuma. Arī Finanšu ministrija jautājumā par Novēršanas likuma prasību attiecināšanu uz maksātnespējas procesiem, kas pasludināti pirms 2020. gada 1. janvāra norādīja, ka </w:t>
      </w:r>
      <w:r w:rsidRPr="00646D15">
        <w:rPr>
          <w:i/>
          <w:iCs/>
        </w:rPr>
        <w:t>attiecīgajai normai stājoties spēkā 2020. gada 1.</w:t>
      </w:r>
      <w:r>
        <w:rPr>
          <w:i/>
          <w:iCs/>
        </w:rPr>
        <w:t> </w:t>
      </w:r>
      <w:r w:rsidRPr="00646D15">
        <w:rPr>
          <w:i/>
          <w:iCs/>
        </w:rPr>
        <w:t>janvārī, tā ir piemērojama arī tiem apstākļiem, kas radušies pirms, bet turpinās pēc tiesību normas spēkā stāšanās (ievadītiem jeb turpinātiem apstākļiem), proti, tai ir tūlītējs spēks attiecībā arī uz iepriekš nodibinātām tiesiskajām attiecībām</w:t>
      </w:r>
      <w:r w:rsidRPr="00646D15">
        <w:t>.</w:t>
      </w:r>
      <w:r w:rsidRPr="00646D15">
        <w:rPr>
          <w:rStyle w:val="Vresatsauce"/>
        </w:rPr>
        <w:footnoteReference w:id="3"/>
      </w:r>
    </w:p>
    <w:p w14:paraId="1B910F72" w14:textId="77777777" w:rsidR="00BA7E56" w:rsidRPr="00646D15" w:rsidRDefault="00BA7E56" w:rsidP="00BA7E56">
      <w:pPr>
        <w:widowControl/>
        <w:spacing w:after="0" w:line="240" w:lineRule="auto"/>
        <w:ind w:firstLine="567"/>
        <w:jc w:val="both"/>
      </w:pPr>
      <w:r w:rsidRPr="00646D15">
        <w:t xml:space="preserve">Ievērojot minēto, </w:t>
      </w:r>
      <w:r w:rsidRPr="00646D15">
        <w:rPr>
          <w:bCs/>
        </w:rPr>
        <w:t>Maksātnespējas kontroles dienests kā</w:t>
      </w:r>
      <w:r w:rsidRPr="00646D15">
        <w:rPr>
          <w:rFonts w:eastAsia="Times New Roman"/>
          <w:bCs/>
          <w:lang w:eastAsia="en-GB"/>
        </w:rPr>
        <w:t xml:space="preserve"> </w:t>
      </w:r>
      <w:r w:rsidRPr="00646D15">
        <w:rPr>
          <w:bCs/>
        </w:rPr>
        <w:t xml:space="preserve">uzraudzības un kontroles institūcija </w:t>
      </w:r>
      <w:r>
        <w:rPr>
          <w:bCs/>
        </w:rPr>
        <w:t>informē</w:t>
      </w:r>
      <w:r w:rsidRPr="00646D15">
        <w:rPr>
          <w:bCs/>
        </w:rPr>
        <w:t>, ka Novēršanas likum</w:t>
      </w:r>
      <w:r>
        <w:rPr>
          <w:bCs/>
        </w:rPr>
        <w:t>a prasības</w:t>
      </w:r>
      <w:r w:rsidRPr="00646D15">
        <w:rPr>
          <w:bCs/>
        </w:rPr>
        <w:t xml:space="preserve"> ir piemērojam</w:t>
      </w:r>
      <w:r>
        <w:rPr>
          <w:bCs/>
        </w:rPr>
        <w:t>a</w:t>
      </w:r>
      <w:r w:rsidRPr="00646D15">
        <w:rPr>
          <w:bCs/>
        </w:rPr>
        <w:t>s</w:t>
      </w:r>
      <w:r>
        <w:rPr>
          <w:bCs/>
        </w:rPr>
        <w:t xml:space="preserve"> un izpildāmas</w:t>
      </w:r>
      <w:r w:rsidRPr="00646D15">
        <w:rPr>
          <w:bCs/>
        </w:rPr>
        <w:t xml:space="preserve"> arī attiecībā uz maksātnespējas procesiem, kas pasludināti pirms 2020. gada 1. janvāra</w:t>
      </w:r>
      <w:r>
        <w:rPr>
          <w:bCs/>
        </w:rPr>
        <w:t xml:space="preserve"> un turpinās</w:t>
      </w:r>
      <w:r w:rsidRPr="00646D15">
        <w:rPr>
          <w:bCs/>
        </w:rPr>
        <w:t xml:space="preserve">. Proti, administratoriem </w:t>
      </w:r>
      <w:r w:rsidRPr="00646D15">
        <w:t>Novēršanas likumā noteiktie pienākumi jāpilda, sākot ar 2020. gada 1. janvāri (ievērojot uz risku novērtējumu balstītu pieeju) jebkurā administratora lietvedībā esošajā maksātnespējas procesā, neatkarīgi</w:t>
      </w:r>
      <w:r>
        <w:t xml:space="preserve"> no datuma</w:t>
      </w:r>
      <w:r w:rsidRPr="00646D15">
        <w:t>, kad tas pasludināts, jo tikai tādējādi var tikt sasniegts Novēršanas likuma mērķis.</w:t>
      </w:r>
    </w:p>
    <w:p w14:paraId="270A4C9A" w14:textId="77777777" w:rsidR="00BA7E56" w:rsidRPr="00646D15" w:rsidRDefault="00BA7E56" w:rsidP="00BA7E56">
      <w:pPr>
        <w:widowControl/>
        <w:spacing w:after="0" w:line="240" w:lineRule="auto"/>
        <w:ind w:firstLine="567"/>
        <w:jc w:val="both"/>
      </w:pPr>
      <w:r w:rsidRPr="007255B9">
        <w:rPr>
          <w:bCs/>
        </w:rPr>
        <w:t xml:space="preserve">Lai nodrošinātu, ka maksātnespējas process netiek izmantots, lai noslēptu noziedzīgi iegūtu līdzekļu legalizāciju (saistībā ar darījumiem, kas veikti pirms maksātnespējas procesa pasludināšanas), kā arī, lai veiktu noziedzīgu iegūtu līdzekļu legalizāciju (personai iegādājoties klienta mantu par noziedzīgi iegūtiem naudas līdzekļiem), </w:t>
      </w:r>
      <w:r w:rsidRPr="007255B9">
        <w:t>administrators arī procesos, kas ir viņa lietvedībā un kas pasludināti pirms 2020. gada 1. janvāra, veic klienta izpētes pasākumus</w:t>
      </w:r>
      <w:r w:rsidRPr="007255B9">
        <w:rPr>
          <w:rStyle w:val="Vresatsauce"/>
        </w:rPr>
        <w:footnoteReference w:id="4"/>
      </w:r>
      <w:r w:rsidRPr="007255B9">
        <w:t>. Minēto pasākumu ietvaros administrators iegūst ziņas no paša klienta un/vai no citiem Novēršanas likumā minētiem avotiem un pārbauda tās</w:t>
      </w:r>
      <w:r w:rsidRPr="007255B9">
        <w:rPr>
          <w:rStyle w:val="Vresatsauce"/>
        </w:rPr>
        <w:footnoteReference w:id="5"/>
      </w:r>
      <w:r w:rsidRPr="007255B9">
        <w:t>, tāpat minēto pasākumu ietvaros administrators pārbauda, vai klients nav iekļauts sankciju sarakstā</w:t>
      </w:r>
      <w:r w:rsidRPr="007255B9">
        <w:rPr>
          <w:rStyle w:val="Vresatsauce"/>
        </w:rPr>
        <w:footnoteReference w:id="6"/>
      </w:r>
      <w:r w:rsidRPr="007255B9">
        <w:t xml:space="preserve">, </w:t>
      </w:r>
      <w:r w:rsidRPr="007255B9">
        <w:lastRenderedPageBreak/>
        <w:t>saglabājot izpētes laikā iegūto informāciju un dokumentus</w:t>
      </w:r>
      <w:r w:rsidRPr="007255B9">
        <w:rPr>
          <w:rStyle w:val="Vresatsauce"/>
        </w:rPr>
        <w:footnoteReference w:id="7"/>
      </w:r>
      <w:r w:rsidRPr="007255B9">
        <w:t xml:space="preserve">. Izvērtējot iegūto informāciju, administrators nosaka noziedzīgi iegūtu līdzekļu un terorisma un </w:t>
      </w:r>
      <w:proofErr w:type="spellStart"/>
      <w:r w:rsidRPr="007255B9">
        <w:t>proliferācijas</w:t>
      </w:r>
      <w:proofErr w:type="spellEnd"/>
      <w:r w:rsidRPr="007255B9">
        <w:t xml:space="preserve"> finansēšanas risk</w:t>
      </w:r>
      <w:r>
        <w:t>a līmeni</w:t>
      </w:r>
      <w:r w:rsidRPr="007255B9">
        <w:t xml:space="preserve">, no kā atkarīgas turpmāk veicamās darbības klienta darījumu uzraudzībā, lai gūtu </w:t>
      </w:r>
      <w:r w:rsidRPr="007255B9">
        <w:rPr>
          <w:shd w:val="clear" w:color="auto" w:fill="FFFFFF"/>
        </w:rPr>
        <w:t xml:space="preserve">pārliecību, ka klienta darījumu attiecības, tostarp ar mantas ieguvēju, nav saistītas ar noziedzīgi iegūtu līdzekļu legalizācijas un terorisma un </w:t>
      </w:r>
      <w:proofErr w:type="spellStart"/>
      <w:r w:rsidRPr="007255B9">
        <w:rPr>
          <w:shd w:val="clear" w:color="auto" w:fill="FFFFFF"/>
        </w:rPr>
        <w:t>proliferācijas</w:t>
      </w:r>
      <w:proofErr w:type="spellEnd"/>
      <w:r w:rsidRPr="007255B9">
        <w:rPr>
          <w:shd w:val="clear" w:color="auto" w:fill="FFFFFF"/>
        </w:rPr>
        <w:t xml:space="preserve"> risku.</w:t>
      </w:r>
      <w:r>
        <w:rPr>
          <w:shd w:val="clear" w:color="auto" w:fill="FFFFFF"/>
        </w:rPr>
        <w:t xml:space="preserve"> </w:t>
      </w:r>
    </w:p>
    <w:p w14:paraId="51296EA9" w14:textId="77777777" w:rsidR="00BA7E56" w:rsidRPr="00646D15" w:rsidRDefault="00BA7E56" w:rsidP="00BA7E56">
      <w:pPr>
        <w:widowControl/>
        <w:spacing w:after="0" w:line="240" w:lineRule="auto"/>
        <w:ind w:firstLine="567"/>
        <w:jc w:val="both"/>
        <w:rPr>
          <w:rFonts w:eastAsia="Times New Roman"/>
          <w:bCs/>
          <w:lang w:eastAsia="en-GB"/>
        </w:rPr>
      </w:pPr>
      <w:r w:rsidRPr="00646D15">
        <w:t xml:space="preserve">Lai arī </w:t>
      </w:r>
      <w:r w:rsidRPr="00646D15">
        <w:rPr>
          <w:rFonts w:eastAsia="Times New Roman"/>
        </w:rPr>
        <w:t xml:space="preserve">biedrības "Latvijas Maksātnespējas procesa administratoru asociācija" izstrādātā </w:t>
      </w:r>
      <w:r w:rsidRPr="00646D15">
        <w:t xml:space="preserve">2021. gada 12. jūlija maksātnespējas procesa administratoru iekšējās kontroles sistēmas instrukcijas "Kārtība par veicamo pasākumu kopumu Noziedzīgi iegūtu līdzekļu legalizācijas un terorisma un </w:t>
      </w:r>
      <w:proofErr w:type="spellStart"/>
      <w:r w:rsidRPr="00646D15">
        <w:t>proliferācijas</w:t>
      </w:r>
      <w:proofErr w:type="spellEnd"/>
      <w:r w:rsidRPr="00646D15">
        <w:t xml:space="preserve"> finansēšanas novēršanas likuma prasību izpildes nodrošināšanai un Iekšējās kontroles sistēmas izveidei" (turpmāk – Instrukcija) satur punktus, </w:t>
      </w:r>
      <w:r>
        <w:t>saskaņā ar kuriem</w:t>
      </w:r>
      <w:r w:rsidRPr="00646D15">
        <w:t xml:space="preserve"> Instrukcija ir attiecināma un piemērojama tikai uz tiem administratoriem, kuru lietvedībā ir maksātnespējas procesi, kas uzsākti un pasludināti pēc 2020. gada 1. janvāra, aicinām administratorus ņemt vērā šajā vēstulē norādīto un nodrošināt </w:t>
      </w:r>
      <w:r>
        <w:t xml:space="preserve">atbilstošu </w:t>
      </w:r>
      <w:r w:rsidRPr="00646D15">
        <w:t xml:space="preserve">Novēršanas likuma prasību izpildi visos </w:t>
      </w:r>
      <w:r>
        <w:t xml:space="preserve">lietvedībā esošajos </w:t>
      </w:r>
      <w:r w:rsidRPr="00646D15">
        <w:t xml:space="preserve">maksātnespējas procesos. </w:t>
      </w:r>
    </w:p>
    <w:p w14:paraId="1A2CA8AA" w14:textId="77777777" w:rsidR="004F339F" w:rsidRDefault="004F339F" w:rsidP="00430153">
      <w:pPr>
        <w:tabs>
          <w:tab w:val="left" w:pos="4395"/>
        </w:tabs>
        <w:ind w:right="-241"/>
      </w:pPr>
    </w:p>
    <w:sectPr w:rsidR="004F339F" w:rsidSect="00430153">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43D2" w14:textId="77777777" w:rsidR="00585C8A" w:rsidRDefault="00585C8A" w:rsidP="00903962">
      <w:pPr>
        <w:spacing w:after="0" w:line="240" w:lineRule="auto"/>
      </w:pPr>
      <w:r>
        <w:separator/>
      </w:r>
    </w:p>
  </w:endnote>
  <w:endnote w:type="continuationSeparator" w:id="0">
    <w:p w14:paraId="0247385F" w14:textId="77777777" w:rsidR="00585C8A" w:rsidRDefault="00585C8A" w:rsidP="0090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D913" w14:textId="77777777" w:rsidR="00585C8A" w:rsidRDefault="00585C8A" w:rsidP="00903962">
      <w:pPr>
        <w:spacing w:after="0" w:line="240" w:lineRule="auto"/>
      </w:pPr>
      <w:r>
        <w:separator/>
      </w:r>
    </w:p>
  </w:footnote>
  <w:footnote w:type="continuationSeparator" w:id="0">
    <w:p w14:paraId="28DCE1B5" w14:textId="77777777" w:rsidR="00585C8A" w:rsidRDefault="00585C8A" w:rsidP="00903962">
      <w:pPr>
        <w:spacing w:after="0" w:line="240" w:lineRule="auto"/>
      </w:pPr>
      <w:r>
        <w:continuationSeparator/>
      </w:r>
    </w:p>
  </w:footnote>
  <w:footnote w:id="1">
    <w:p w14:paraId="3D872482" w14:textId="77777777" w:rsidR="00BA7E56" w:rsidRDefault="00BA7E56" w:rsidP="00BA7E56">
      <w:pPr>
        <w:pStyle w:val="Vresteksts"/>
        <w:ind w:right="-241"/>
        <w:jc w:val="both"/>
      </w:pPr>
      <w:r>
        <w:rPr>
          <w:rStyle w:val="Vresatsauce"/>
        </w:rPr>
        <w:footnoteRef/>
      </w:r>
      <w:r>
        <w:t> </w:t>
      </w:r>
      <w:r w:rsidRPr="00E92BFB">
        <w:t>Grozījumi Noziedzīgi iegūtu līdzekļu legalizācijas un terorisma finansēšanas novēršanas likumā.</w:t>
      </w:r>
      <w:r>
        <w:t xml:space="preserve"> Pieejams: </w:t>
      </w:r>
      <w:hyperlink r:id="rId1" w:history="1">
        <w:r w:rsidRPr="001163A4">
          <w:rPr>
            <w:rStyle w:val="Hipersaite"/>
          </w:rPr>
          <w:t>https://likumi.lv/ta/id/307811-grozijumi-noziedzigi-iegutu-lidzeklu-legalizacijas-un-terorisma-finansesanas-noversanas-likuma</w:t>
        </w:r>
      </w:hyperlink>
      <w:r>
        <w:t>.</w:t>
      </w:r>
    </w:p>
  </w:footnote>
  <w:footnote w:id="2">
    <w:p w14:paraId="04906446" w14:textId="77777777" w:rsidR="00BA7E56" w:rsidRDefault="00BA7E56" w:rsidP="00BA7E56">
      <w:pPr>
        <w:pStyle w:val="Vresteksts"/>
        <w:ind w:right="-241"/>
        <w:jc w:val="both"/>
      </w:pPr>
      <w:r>
        <w:rPr>
          <w:rStyle w:val="Vresatsauce"/>
        </w:rPr>
        <w:footnoteRef/>
      </w:r>
      <w:r>
        <w:t> </w:t>
      </w:r>
      <w:r w:rsidRPr="00E92BFB">
        <w:t>Likumprojekta "Grozījumi Noziedzīgi iegūtu līdzekļu legalizācijas un terorisma finansēšanas novēršanas likumā" sākotnējās ietekmes novērtējuma ziņojums (anotācija). Pieejams: </w:t>
      </w:r>
      <w:hyperlink r:id="rId2" w:tgtFrame="_blank" w:tooltip="http://titania.saeima.lv/LIVS13/SaeimaLIVS13.nsf/0/4BB13AB66D7D4F19C22583D10052D381?OpenDocument" w:history="1">
        <w:r w:rsidRPr="00E92BFB">
          <w:rPr>
            <w:rStyle w:val="Hipersaite"/>
          </w:rPr>
          <w:t>http://titania.saeima.lv/LIVS13/SaeimaLIVS13.nsf/0/4BB13AB66D7D4F19C22583D10052D381?OpenDocument</w:t>
        </w:r>
      </w:hyperlink>
      <w:r>
        <w:t>.</w:t>
      </w:r>
    </w:p>
  </w:footnote>
  <w:footnote w:id="3">
    <w:p w14:paraId="32638B20" w14:textId="77777777" w:rsidR="00BA7E56" w:rsidRDefault="00BA7E56" w:rsidP="00BA7E56">
      <w:pPr>
        <w:pStyle w:val="Vresteksts"/>
        <w:ind w:right="-241"/>
      </w:pPr>
      <w:r>
        <w:rPr>
          <w:rStyle w:val="Vresatsauce"/>
        </w:rPr>
        <w:footnoteRef/>
      </w:r>
      <w:r>
        <w:t> </w:t>
      </w:r>
      <w:r>
        <w:t xml:space="preserve">Finanšu ministrijas </w:t>
      </w:r>
      <w:r w:rsidRPr="00740F8B">
        <w:t xml:space="preserve">2022. gada 21. marta </w:t>
      </w:r>
      <w:r>
        <w:t>vēstule</w:t>
      </w:r>
      <w:r w:rsidRPr="00740F8B">
        <w:t xml:space="preserve"> Nr. 2.1-19/17/881</w:t>
      </w:r>
      <w:r>
        <w:t xml:space="preserve"> "Par likuma piemērošanu".</w:t>
      </w:r>
    </w:p>
  </w:footnote>
  <w:footnote w:id="4">
    <w:p w14:paraId="2FDD1F38" w14:textId="77777777" w:rsidR="00BA7E56" w:rsidRDefault="00BA7E56" w:rsidP="00BA7E56">
      <w:pPr>
        <w:pStyle w:val="Vresteksts"/>
      </w:pPr>
      <w:r>
        <w:rPr>
          <w:rStyle w:val="Vresatsauce"/>
        </w:rPr>
        <w:footnoteRef/>
      </w:r>
      <w:r>
        <w:t xml:space="preserve"> </w:t>
      </w:r>
      <w:r>
        <w:t>Novēršanas likuma 11. pants.</w:t>
      </w:r>
    </w:p>
  </w:footnote>
  <w:footnote w:id="5">
    <w:p w14:paraId="510383F4" w14:textId="77777777" w:rsidR="00BA7E56" w:rsidRDefault="00BA7E56" w:rsidP="00BA7E56">
      <w:pPr>
        <w:pStyle w:val="Vresteksts"/>
      </w:pPr>
      <w:r>
        <w:rPr>
          <w:rStyle w:val="Vresatsauce"/>
        </w:rPr>
        <w:footnoteRef/>
      </w:r>
      <w:r>
        <w:t xml:space="preserve"> </w:t>
      </w:r>
      <w:r>
        <w:t>Novēršanas likuma 12., 13., 18., 20., 25. pants.</w:t>
      </w:r>
    </w:p>
  </w:footnote>
  <w:footnote w:id="6">
    <w:p w14:paraId="0EEA14F7" w14:textId="77777777" w:rsidR="00BA7E56" w:rsidRDefault="00BA7E56" w:rsidP="00BA7E56">
      <w:pPr>
        <w:pStyle w:val="Vresteksts"/>
      </w:pPr>
      <w:r>
        <w:rPr>
          <w:rStyle w:val="Vresatsauce"/>
        </w:rPr>
        <w:footnoteRef/>
      </w:r>
      <w:r>
        <w:t xml:space="preserve"> </w:t>
      </w:r>
      <w:r>
        <w:t>Sankciju likuma 2. panta otrā daļa.</w:t>
      </w:r>
    </w:p>
  </w:footnote>
  <w:footnote w:id="7">
    <w:p w14:paraId="4532FBBB" w14:textId="77777777" w:rsidR="00BA7E56" w:rsidRPr="003B7DD0" w:rsidRDefault="00BA7E56" w:rsidP="00BA7E56">
      <w:pPr>
        <w:pStyle w:val="Vresteksts"/>
      </w:pPr>
      <w:r w:rsidRPr="003B7DD0">
        <w:rPr>
          <w:rStyle w:val="Vresatsauce"/>
        </w:rPr>
        <w:footnoteRef/>
      </w:r>
      <w:r w:rsidRPr="003B7DD0">
        <w:t xml:space="preserve"> </w:t>
      </w:r>
      <w:r w:rsidRPr="003B7DD0">
        <w:rPr>
          <w:rFonts w:eastAsia="Times New Roman"/>
        </w:rPr>
        <w:t>Novēršanas likuma 37. panta otrā daļa.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62"/>
    <w:rsid w:val="000679A2"/>
    <w:rsid w:val="001411E8"/>
    <w:rsid w:val="003B7DD0"/>
    <w:rsid w:val="00430153"/>
    <w:rsid w:val="004F339F"/>
    <w:rsid w:val="00536399"/>
    <w:rsid w:val="00565795"/>
    <w:rsid w:val="00585C8A"/>
    <w:rsid w:val="00646D15"/>
    <w:rsid w:val="00676730"/>
    <w:rsid w:val="006D2CB4"/>
    <w:rsid w:val="008317BF"/>
    <w:rsid w:val="008E17FD"/>
    <w:rsid w:val="00903962"/>
    <w:rsid w:val="009A7682"/>
    <w:rsid w:val="00AC2858"/>
    <w:rsid w:val="00B530AA"/>
    <w:rsid w:val="00BA7E56"/>
    <w:rsid w:val="00CF39FC"/>
    <w:rsid w:val="00DC2E75"/>
    <w:rsid w:val="00F25551"/>
    <w:rsid w:val="00F844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36CD"/>
  <w15:chartTrackingRefBased/>
  <w15:docId w15:val="{586A4BA5-A3C5-41E8-98C9-177A4438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3962"/>
    <w:pPr>
      <w:widowControl w:val="0"/>
      <w:spacing w:after="200" w:line="276"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903962"/>
    <w:rPr>
      <w:color w:val="0000FF"/>
      <w:u w:val="single"/>
    </w:rPr>
  </w:style>
  <w:style w:type="paragraph" w:styleId="Vresteksts">
    <w:name w:val="footnote text"/>
    <w:aliases w:val="Char Char Char,Footnote Text1,Footnote Text1 Char"/>
    <w:basedOn w:val="Parasts"/>
    <w:link w:val="VrestekstsRakstz"/>
    <w:uiPriority w:val="99"/>
    <w:unhideWhenUsed/>
    <w:rsid w:val="009039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903962"/>
    <w:rPr>
      <w:rFonts w:ascii="Times New Roman" w:eastAsia="Calibri" w:hAnsi="Times New Roman" w:cs="Times New Roman"/>
      <w:sz w:val="20"/>
      <w:szCs w:val="20"/>
      <w:lang w:eastAsia="lv-LV"/>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unhideWhenUsed/>
    <w:rsid w:val="00903962"/>
    <w:rPr>
      <w:vertAlign w:val="superscript"/>
    </w:rPr>
  </w:style>
  <w:style w:type="paragraph" w:customStyle="1" w:styleId="Default">
    <w:name w:val="Default"/>
    <w:rsid w:val="0090396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titania.saeima.lv/LIVS13/SaeimaLIVS13.nsf/0/4BB13AB66D7D4F19C22583D10052D381?OpenDocument" TargetMode="External"/><Relationship Id="rId1" Type="http://schemas.openxmlformats.org/officeDocument/2006/relationships/hyperlink" Target="https://likumi.lv/ta/id/307811-grozijumi-noziedzigi-iegutu-lidzeklu-legalizacijas-un-terorisma-finansesanas-noversanas-likum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540C-A75B-4998-A1E2-FF3F7849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2806</Words>
  <Characters>1600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Murniece</dc:creator>
  <cp:keywords/>
  <dc:description/>
  <cp:lastModifiedBy>Laura Murniece</cp:lastModifiedBy>
  <cp:revision>2</cp:revision>
  <dcterms:created xsi:type="dcterms:W3CDTF">2023-02-27T08:03:00Z</dcterms:created>
  <dcterms:modified xsi:type="dcterms:W3CDTF">2023-02-27T08:03:00Z</dcterms:modified>
</cp:coreProperties>
</file>